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3192" w14:textId="4FD5B22B" w:rsidR="00F82CF3" w:rsidRPr="00D807EF" w:rsidRDefault="00F82CF3" w:rsidP="00F82CF3">
      <w:pPr>
        <w:pStyle w:val="Titre1"/>
        <w:rPr>
          <w:color w:val="auto"/>
        </w:rPr>
      </w:pPr>
      <w:r w:rsidRPr="00D807EF">
        <w:rPr>
          <w:color w:val="auto"/>
        </w:rPr>
        <w:t>Evolution et biodiversité des microorganismes : travaux dirigés</w:t>
      </w:r>
    </w:p>
    <w:p w14:paraId="57FB5A2C" w14:textId="77777777" w:rsidR="00F82CF3" w:rsidRDefault="00F82CF3" w:rsidP="00F82CF3"/>
    <w:p w14:paraId="60BF234C" w14:textId="77777777" w:rsidR="00F82CF3" w:rsidRPr="00D807EF" w:rsidRDefault="00F82CF3" w:rsidP="00F82CF3">
      <w:pPr>
        <w:pStyle w:val="Titre2"/>
        <w:rPr>
          <w:color w:val="auto"/>
        </w:rPr>
      </w:pPr>
      <w:r w:rsidRPr="00D807EF">
        <w:rPr>
          <w:color w:val="auto"/>
        </w:rPr>
        <w:t>L’évolution des protéines universelles Sua5/</w:t>
      </w:r>
      <w:proofErr w:type="spellStart"/>
      <w:r w:rsidRPr="00D807EF">
        <w:rPr>
          <w:color w:val="auto"/>
        </w:rPr>
        <w:t>TsaC</w:t>
      </w:r>
      <w:proofErr w:type="spellEnd"/>
      <w:r w:rsidRPr="00D807EF">
        <w:rPr>
          <w:color w:val="auto"/>
        </w:rPr>
        <w:t xml:space="preserve"> : quand la simplicité </w:t>
      </w:r>
      <w:r w:rsidRPr="00D807EF">
        <w:rPr>
          <w:bCs/>
          <w:color w:val="auto"/>
        </w:rPr>
        <w:t>est</w:t>
      </w:r>
      <w:r w:rsidRPr="00D807EF">
        <w:rPr>
          <w:color w:val="auto"/>
        </w:rPr>
        <w:t xml:space="preserve"> </w:t>
      </w:r>
      <w:r w:rsidRPr="00D807EF">
        <w:rPr>
          <w:bCs/>
          <w:color w:val="auto"/>
        </w:rPr>
        <w:t>l’ultime</w:t>
      </w:r>
      <w:r w:rsidRPr="00D807EF">
        <w:rPr>
          <w:color w:val="auto"/>
        </w:rPr>
        <w:t xml:space="preserve"> </w:t>
      </w:r>
      <w:r w:rsidRPr="00D807EF">
        <w:rPr>
          <w:bCs/>
          <w:color w:val="auto"/>
        </w:rPr>
        <w:t>sophistication ?</w:t>
      </w:r>
    </w:p>
    <w:p w14:paraId="1FBA083B" w14:textId="77777777" w:rsidR="00F82CF3" w:rsidRDefault="00F82CF3" w:rsidP="00F82CF3"/>
    <w:p w14:paraId="3EDA8F4F" w14:textId="77777777" w:rsidR="00F82CF3" w:rsidRDefault="00F82CF3" w:rsidP="00F82CF3">
      <w:pPr>
        <w:jc w:val="both"/>
      </w:pPr>
      <w:r w:rsidRPr="00D807EF">
        <w:rPr>
          <w:b/>
        </w:rPr>
        <w:t>Objectifs</w:t>
      </w:r>
      <w:r>
        <w:t xml:space="preserve"> : Savoir chercher les séquences à partir de la base de données NCBI. Savoir utiliser les logiciels d’alignement de séquences. Savoir construire les arbres phylogénétiques et les interpréter. </w:t>
      </w:r>
    </w:p>
    <w:p w14:paraId="61B8954D" w14:textId="4AAEB14A" w:rsidR="00F82CF3" w:rsidRDefault="00F82CF3" w:rsidP="00F82CF3">
      <w:pPr>
        <w:jc w:val="both"/>
      </w:pPr>
      <w:r w:rsidRPr="00D807EF">
        <w:rPr>
          <w:b/>
        </w:rPr>
        <w:t>Consignes</w:t>
      </w:r>
      <w:r>
        <w:t> : Donnez vos réponses en couleur pour mieux les repérer, utilisez la police Courier New (taille de lettres constante) pour écrire les séquences</w:t>
      </w:r>
      <w:r w:rsidR="00B376EE">
        <w:t>.</w:t>
      </w:r>
      <w:r w:rsidR="00DD16BA">
        <w:t xml:space="preserve"> Nous vous recommençons fortement d’utiliser Firefox, nous avons constaté que ce browser est le plus compatible avec les outils en ligne que nous utilisons.</w:t>
      </w:r>
    </w:p>
    <w:p w14:paraId="01448F61" w14:textId="77777777" w:rsidR="00F82CF3" w:rsidRDefault="00F82CF3" w:rsidP="00F82CF3">
      <w:pPr>
        <w:jc w:val="both"/>
      </w:pPr>
    </w:p>
    <w:p w14:paraId="3E3D3F00" w14:textId="77777777" w:rsidR="00F82CF3" w:rsidRDefault="00F82CF3" w:rsidP="00F82CF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4261A44" wp14:editId="04CA7461">
            <wp:simplePos x="0" y="0"/>
            <wp:positionH relativeFrom="margin">
              <wp:align>left</wp:align>
            </wp:positionH>
            <wp:positionV relativeFrom="paragraph">
              <wp:posOffset>1388110</wp:posOffset>
            </wp:positionV>
            <wp:extent cx="4674870" cy="3310255"/>
            <wp:effectExtent l="0" t="0" r="0" b="444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9" t="17196" r="21361" b="11073"/>
                    <a:stretch/>
                  </pic:blipFill>
                  <pic:spPr bwMode="auto">
                    <a:xfrm>
                      <a:off x="0" y="0"/>
                      <a:ext cx="4674870" cy="331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Les protéines de la famille Sua5/</w:t>
      </w:r>
      <w:proofErr w:type="spellStart"/>
      <w:r>
        <w:t>TsaC</w:t>
      </w:r>
      <w:proofErr w:type="spellEnd"/>
      <w:r>
        <w:t xml:space="preserve"> participent </w:t>
      </w:r>
      <w:r w:rsidR="00033D53">
        <w:t>à</w:t>
      </w:r>
      <w:r>
        <w:t xml:space="preserve"> la voie de biosynthèse d’une modification universelle d’</w:t>
      </w:r>
      <w:proofErr w:type="spellStart"/>
      <w:r>
        <w:t>ARNt</w:t>
      </w:r>
      <w:proofErr w:type="spellEnd"/>
      <w:r>
        <w:t xml:space="preserve"> nommé </w:t>
      </w:r>
      <w:proofErr w:type="spellStart"/>
      <w:r>
        <w:t>thréonyl</w:t>
      </w:r>
      <w:proofErr w:type="spellEnd"/>
      <w:r>
        <w:t>-</w:t>
      </w:r>
      <w:proofErr w:type="spellStart"/>
      <w:r>
        <w:t>carbamoyl</w:t>
      </w:r>
      <w:proofErr w:type="spellEnd"/>
      <w:r>
        <w:t>-adénosine (t</w:t>
      </w:r>
      <w:r w:rsidRPr="00D807EF">
        <w:rPr>
          <w:vertAlign w:val="superscript"/>
        </w:rPr>
        <w:t>6</w:t>
      </w:r>
      <w:r>
        <w:t xml:space="preserve">A). Cette modification est trouvée uniquement à la position 37 (à côté de l’anticodon) au sein de tous les </w:t>
      </w:r>
      <w:proofErr w:type="spellStart"/>
      <w:r>
        <w:t>ARNt</w:t>
      </w:r>
      <w:proofErr w:type="spellEnd"/>
      <w:r>
        <w:t xml:space="preserve"> décodant les codons du type ANN (ou N = A, C, T, G) (Fig. 1A). </w:t>
      </w:r>
      <w:proofErr w:type="gramStart"/>
      <w:r>
        <w:t>t</w:t>
      </w:r>
      <w:proofErr w:type="gramEnd"/>
      <w:r w:rsidRPr="00D807EF">
        <w:rPr>
          <w:vertAlign w:val="superscript"/>
        </w:rPr>
        <w:t>6</w:t>
      </w:r>
      <w:r>
        <w:t>A contribue à la bonne lecture du code génétique, entre autre, en stabilisant l’interaction entre l’anticodon et le codon. La perte de t</w:t>
      </w:r>
      <w:r w:rsidRPr="00D807EF">
        <w:rPr>
          <w:vertAlign w:val="superscript"/>
        </w:rPr>
        <w:t>6</w:t>
      </w:r>
      <w:r>
        <w:t xml:space="preserve">A est létale pour les organismes modèle procaryotes ; chez les eucaryotes elle provoque des phénotypes sévères y compris chez l’homme. </w:t>
      </w:r>
    </w:p>
    <w:p w14:paraId="4EA6B6C5" w14:textId="77777777" w:rsidR="00F82CF3" w:rsidRDefault="00F82CF3" w:rsidP="00F82CF3">
      <w:pPr>
        <w:jc w:val="both"/>
      </w:pPr>
      <w:r>
        <w:t>Fig. 1. Structure et voie de biosynthèse de t</w:t>
      </w:r>
      <w:r w:rsidRPr="00D807EF">
        <w:rPr>
          <w:vertAlign w:val="superscript"/>
        </w:rPr>
        <w:t>6</w:t>
      </w:r>
      <w:r>
        <w:t xml:space="preserve">A. </w:t>
      </w:r>
    </w:p>
    <w:p w14:paraId="6CBE8BB7" w14:textId="77777777" w:rsidR="00F82CF3" w:rsidRDefault="00F82CF3" w:rsidP="00F82CF3">
      <w:pPr>
        <w:jc w:val="both"/>
      </w:pPr>
      <w:r w:rsidRPr="00185FDA">
        <w:rPr>
          <w:sz w:val="18"/>
        </w:rPr>
        <w:t>A) Positionnement au sein d’</w:t>
      </w:r>
      <w:proofErr w:type="spellStart"/>
      <w:r w:rsidRPr="00185FDA">
        <w:rPr>
          <w:sz w:val="18"/>
        </w:rPr>
        <w:t>ARNt</w:t>
      </w:r>
      <w:proofErr w:type="spellEnd"/>
      <w:r w:rsidRPr="00185FDA">
        <w:rPr>
          <w:sz w:val="18"/>
        </w:rPr>
        <w:t xml:space="preserve"> et structure chimique de t</w:t>
      </w:r>
      <w:r w:rsidRPr="00D807EF">
        <w:rPr>
          <w:sz w:val="18"/>
          <w:vertAlign w:val="superscript"/>
        </w:rPr>
        <w:t>6</w:t>
      </w:r>
      <w:r w:rsidRPr="00185FDA">
        <w:rPr>
          <w:sz w:val="18"/>
        </w:rPr>
        <w:t>A. B) Voie de biosynthèse de t</w:t>
      </w:r>
      <w:r w:rsidRPr="00D807EF">
        <w:rPr>
          <w:sz w:val="18"/>
          <w:vertAlign w:val="superscript"/>
        </w:rPr>
        <w:t>6</w:t>
      </w:r>
      <w:r w:rsidRPr="00185FDA">
        <w:rPr>
          <w:sz w:val="18"/>
        </w:rPr>
        <w:t>A. L</w:t>
      </w:r>
      <w:r>
        <w:rPr>
          <w:sz w:val="18"/>
        </w:rPr>
        <w:t>a</w:t>
      </w:r>
      <w:r w:rsidRPr="00185FDA">
        <w:rPr>
          <w:sz w:val="18"/>
        </w:rPr>
        <w:t xml:space="preserve"> première étape de la réaction est catalysé</w:t>
      </w:r>
      <w:r>
        <w:rPr>
          <w:sz w:val="18"/>
        </w:rPr>
        <w:t>e</w:t>
      </w:r>
      <w:r w:rsidRPr="00185FDA">
        <w:rPr>
          <w:sz w:val="18"/>
        </w:rPr>
        <w:t xml:space="preserve"> par </w:t>
      </w:r>
      <w:r>
        <w:rPr>
          <w:sz w:val="18"/>
        </w:rPr>
        <w:t xml:space="preserve">les enzymes de </w:t>
      </w:r>
      <w:r w:rsidRPr="00185FDA">
        <w:rPr>
          <w:sz w:val="18"/>
        </w:rPr>
        <w:t>la famille Sua5/</w:t>
      </w:r>
      <w:proofErr w:type="spellStart"/>
      <w:r w:rsidRPr="00185FDA">
        <w:rPr>
          <w:sz w:val="18"/>
        </w:rPr>
        <w:t>TsaC</w:t>
      </w:r>
      <w:proofErr w:type="spellEnd"/>
      <w:r w:rsidRPr="00185FDA">
        <w:rPr>
          <w:sz w:val="18"/>
        </w:rPr>
        <w:t>, cette réaction conduit à la formation d’un intermédiaire réactionnel instable le thréonine-</w:t>
      </w:r>
      <w:proofErr w:type="spellStart"/>
      <w:r w:rsidRPr="00185FDA">
        <w:rPr>
          <w:sz w:val="18"/>
        </w:rPr>
        <w:t>carbamoyle</w:t>
      </w:r>
      <w:proofErr w:type="spellEnd"/>
      <w:r w:rsidRPr="00185FDA">
        <w:rPr>
          <w:sz w:val="18"/>
        </w:rPr>
        <w:t>-AMP. C) La famille Sua5/</w:t>
      </w:r>
      <w:proofErr w:type="spellStart"/>
      <w:r w:rsidRPr="00185FDA">
        <w:rPr>
          <w:sz w:val="18"/>
        </w:rPr>
        <w:t>TsaC</w:t>
      </w:r>
      <w:proofErr w:type="spellEnd"/>
      <w:r w:rsidRPr="00185FDA">
        <w:rPr>
          <w:sz w:val="18"/>
        </w:rPr>
        <w:t xml:space="preserve"> est composé de deux variantes protéiques, l’une, </w:t>
      </w:r>
      <w:proofErr w:type="spellStart"/>
      <w:r w:rsidRPr="00185FDA">
        <w:rPr>
          <w:sz w:val="18"/>
        </w:rPr>
        <w:t>TsaC</w:t>
      </w:r>
      <w:proofErr w:type="spellEnd"/>
      <w:r w:rsidRPr="00185FDA">
        <w:rPr>
          <w:sz w:val="18"/>
        </w:rPr>
        <w:t xml:space="preserve"> est une protéine constituée d’un seul domaine, l’autre, Sua5, est composé d’un domaine </w:t>
      </w:r>
      <w:proofErr w:type="spellStart"/>
      <w:r w:rsidRPr="00185FDA">
        <w:rPr>
          <w:sz w:val="18"/>
        </w:rPr>
        <w:t>TsaC</w:t>
      </w:r>
      <w:proofErr w:type="spellEnd"/>
      <w:r w:rsidRPr="00185FDA">
        <w:rPr>
          <w:sz w:val="18"/>
        </w:rPr>
        <w:t xml:space="preserve">-like relié </w:t>
      </w:r>
      <w:r>
        <w:rPr>
          <w:sz w:val="18"/>
        </w:rPr>
        <w:t xml:space="preserve">par une boucle « linker » </w:t>
      </w:r>
      <w:r w:rsidRPr="00185FDA">
        <w:rPr>
          <w:sz w:val="18"/>
        </w:rPr>
        <w:t>à un deuxième domaine nommé SUA5 de fonction inconnue.</w:t>
      </w:r>
      <w:r>
        <w:t xml:space="preserve"> </w:t>
      </w:r>
    </w:p>
    <w:p w14:paraId="6502D7C0" w14:textId="77777777" w:rsidR="00F82CF3" w:rsidRDefault="00F82CF3" w:rsidP="00F82CF3">
      <w:pPr>
        <w:jc w:val="both"/>
      </w:pPr>
    </w:p>
    <w:p w14:paraId="391BCCB9" w14:textId="124F97A2" w:rsidR="00F82CF3" w:rsidRDefault="00F82CF3" w:rsidP="00F82CF3">
      <w:pPr>
        <w:jc w:val="both"/>
      </w:pPr>
      <w:r>
        <w:t>Les protéines de la famille Sua5/</w:t>
      </w:r>
      <w:proofErr w:type="spellStart"/>
      <w:r>
        <w:t>TsaC</w:t>
      </w:r>
      <w:proofErr w:type="spellEnd"/>
      <w:r>
        <w:t xml:space="preserve"> catalysent la première étape de la réaction conduisant à la formation de t</w:t>
      </w:r>
      <w:r w:rsidRPr="00D807EF">
        <w:rPr>
          <w:vertAlign w:val="superscript"/>
        </w:rPr>
        <w:t>6</w:t>
      </w:r>
      <w:r>
        <w:t xml:space="preserve">A (Fig. 1B). Alors que </w:t>
      </w:r>
      <w:r w:rsidR="00033D53">
        <w:t xml:space="preserve">les </w:t>
      </w:r>
      <w:r>
        <w:t xml:space="preserve">protéines </w:t>
      </w:r>
      <w:proofErr w:type="spellStart"/>
      <w:r w:rsidR="00033D53">
        <w:t>TsaC</w:t>
      </w:r>
      <w:proofErr w:type="spellEnd"/>
      <w:r w:rsidR="00033D53">
        <w:t xml:space="preserve"> </w:t>
      </w:r>
      <w:r>
        <w:t>sont composé</w:t>
      </w:r>
      <w:r w:rsidR="00033D53">
        <w:t>e</w:t>
      </w:r>
      <w:r>
        <w:t xml:space="preserve">s d’un seul domaine, les protéines Sua5 sont composés d’un domaine </w:t>
      </w:r>
      <w:proofErr w:type="spellStart"/>
      <w:r>
        <w:t>TsaC</w:t>
      </w:r>
      <w:proofErr w:type="spellEnd"/>
      <w:r>
        <w:t>-like et d’un deuxième domaine nommé SUA5 de fonction inconnue (</w:t>
      </w:r>
      <w:proofErr w:type="spellStart"/>
      <w:r>
        <w:t>Fig</w:t>
      </w:r>
      <w:proofErr w:type="spellEnd"/>
      <w:r>
        <w:t xml:space="preserve"> 1C). Ces deux domaines sont reliés par une boucle « linker ». Les travaux d’analyse structurale et biochimique ont démontré que le linker et le domaine SUA5 étai</w:t>
      </w:r>
      <w:r w:rsidR="00033D53">
        <w:t>en</w:t>
      </w:r>
      <w:r>
        <w:t>t indispensable</w:t>
      </w:r>
      <w:r w:rsidR="00033D53">
        <w:t>s</w:t>
      </w:r>
      <w:r>
        <w:t xml:space="preserve"> à l’activité de la protéine Sua5 issue de l’</w:t>
      </w:r>
      <w:proofErr w:type="spellStart"/>
      <w:r>
        <w:t>archée</w:t>
      </w:r>
      <w:proofErr w:type="spellEnd"/>
      <w:r>
        <w:t xml:space="preserve"> </w:t>
      </w:r>
      <w:proofErr w:type="spellStart"/>
      <w:r w:rsidRPr="00FB4D2B">
        <w:rPr>
          <w:i/>
        </w:rPr>
        <w:t>Pyrococcus</w:t>
      </w:r>
      <w:proofErr w:type="spellEnd"/>
      <w:r w:rsidRPr="00FB4D2B">
        <w:rPr>
          <w:i/>
        </w:rPr>
        <w:t xml:space="preserve"> </w:t>
      </w:r>
      <w:proofErr w:type="spellStart"/>
      <w:r w:rsidRPr="00FB4D2B">
        <w:rPr>
          <w:i/>
        </w:rPr>
        <w:t>abyssi</w:t>
      </w:r>
      <w:proofErr w:type="spellEnd"/>
      <w:r>
        <w:t xml:space="preserve"> (Pichard-</w:t>
      </w:r>
      <w:proofErr w:type="spellStart"/>
      <w:r>
        <w:t>Kostuch</w:t>
      </w:r>
      <w:proofErr w:type="spellEnd"/>
      <w:r>
        <w:t xml:space="preserve"> et al., 2018, RNA). La mutation des motifs conservés P</w:t>
      </w:r>
      <w:r w:rsidRPr="00A85030">
        <w:rPr>
          <w:vertAlign w:val="superscript"/>
        </w:rPr>
        <w:t>227</w:t>
      </w:r>
      <w:r>
        <w:t>-G</w:t>
      </w:r>
      <w:r w:rsidRPr="00A85030">
        <w:rPr>
          <w:vertAlign w:val="superscript"/>
        </w:rPr>
        <w:t>228</w:t>
      </w:r>
      <w:r>
        <w:t>-M</w:t>
      </w:r>
      <w:r w:rsidRPr="00A85030">
        <w:rPr>
          <w:vertAlign w:val="superscript"/>
        </w:rPr>
        <w:t>229</w:t>
      </w:r>
      <w:r>
        <w:t xml:space="preserve"> et </w:t>
      </w:r>
      <w:r w:rsidRPr="00A85030">
        <w:t>H</w:t>
      </w:r>
      <w:r w:rsidRPr="00A85030">
        <w:rPr>
          <w:vertAlign w:val="superscript"/>
        </w:rPr>
        <w:t>234</w:t>
      </w:r>
      <w:r w:rsidRPr="00A85030">
        <w:t>-</w:t>
      </w:r>
      <w:r>
        <w:t>Y</w:t>
      </w:r>
      <w:r w:rsidRPr="00A85030">
        <w:rPr>
          <w:vertAlign w:val="superscript"/>
        </w:rPr>
        <w:t>235</w:t>
      </w:r>
      <w:r>
        <w:t xml:space="preserve"> en alanine au sein du linker provoque la perte d’activité </w:t>
      </w:r>
      <w:r w:rsidRPr="000B3DFC">
        <w:rPr>
          <w:i/>
        </w:rPr>
        <w:t>in vitro</w:t>
      </w:r>
      <w:r>
        <w:t xml:space="preserve"> et </w:t>
      </w:r>
      <w:r w:rsidRPr="000B3DFC">
        <w:rPr>
          <w:i/>
        </w:rPr>
        <w:t>in vivo</w:t>
      </w:r>
      <w:r>
        <w:t xml:space="preserve">. Le motif </w:t>
      </w:r>
      <w:r w:rsidRPr="00B9588F">
        <w:t>K</w:t>
      </w:r>
      <w:r w:rsidRPr="00B9588F">
        <w:rPr>
          <w:vertAlign w:val="superscript"/>
        </w:rPr>
        <w:t>56</w:t>
      </w:r>
      <w:r w:rsidRPr="00A85030">
        <w:t>-</w:t>
      </w:r>
      <w:r>
        <w:t>X-</w:t>
      </w:r>
      <w:r w:rsidRPr="00B9588F">
        <w:t>R</w:t>
      </w:r>
      <w:r w:rsidRPr="00B9588F">
        <w:rPr>
          <w:vertAlign w:val="superscript"/>
        </w:rPr>
        <w:t>58</w:t>
      </w:r>
      <w:r w:rsidRPr="00B9588F">
        <w:t>/S</w:t>
      </w:r>
      <w:r w:rsidRPr="00B9588F">
        <w:rPr>
          <w:vertAlign w:val="superscript"/>
        </w:rPr>
        <w:t>143</w:t>
      </w:r>
      <w:r w:rsidRPr="00A85030">
        <w:t>-</w:t>
      </w:r>
      <w:r>
        <w:t>X-</w:t>
      </w:r>
      <w:r w:rsidRPr="00B9588F">
        <w:t>N</w:t>
      </w:r>
      <w:r w:rsidRPr="00B9588F">
        <w:rPr>
          <w:vertAlign w:val="superscript"/>
        </w:rPr>
        <w:t>145</w:t>
      </w:r>
      <w:r>
        <w:t xml:space="preserve"> (tou</w:t>
      </w:r>
      <w:r w:rsidR="00033D53">
        <w:t>tes</w:t>
      </w:r>
      <w:r>
        <w:t xml:space="preserve"> les </w:t>
      </w:r>
      <w:r w:rsidR="00033D53">
        <w:t>positions</w:t>
      </w:r>
      <w:r>
        <w:t xml:space="preserve"> d</w:t>
      </w:r>
      <w:r w:rsidR="00033D53">
        <w:t xml:space="preserve">es </w:t>
      </w:r>
      <w:r>
        <w:t>acide</w:t>
      </w:r>
      <w:r w:rsidR="00033D53">
        <w:t>s</w:t>
      </w:r>
      <w:r>
        <w:t xml:space="preserve"> aminés correspondent à la séquence de Sua5 de </w:t>
      </w:r>
      <w:r w:rsidRPr="00B9588F">
        <w:rPr>
          <w:i/>
        </w:rPr>
        <w:t xml:space="preserve">P. </w:t>
      </w:r>
      <w:proofErr w:type="spellStart"/>
      <w:r w:rsidRPr="00B9588F">
        <w:rPr>
          <w:i/>
        </w:rPr>
        <w:t>abyssi</w:t>
      </w:r>
      <w:proofErr w:type="spellEnd"/>
      <w:r>
        <w:t xml:space="preserve">) au sein de </w:t>
      </w:r>
      <w:proofErr w:type="spellStart"/>
      <w:r>
        <w:t>TsaC</w:t>
      </w:r>
      <w:proofErr w:type="spellEnd"/>
      <w:r>
        <w:t xml:space="preserve"> et </w:t>
      </w:r>
      <w:proofErr w:type="spellStart"/>
      <w:r>
        <w:t>TsaC</w:t>
      </w:r>
      <w:proofErr w:type="spellEnd"/>
      <w:r>
        <w:t>-like est essentiel pour la liaison à l’ATP</w:t>
      </w:r>
      <w:r w:rsidR="006935D8">
        <w:t xml:space="preserve"> et est conservé au sein de l’ensemble des protéines </w:t>
      </w:r>
      <w:proofErr w:type="spellStart"/>
      <w:r w:rsidR="006935D8">
        <w:t>TsaC</w:t>
      </w:r>
      <w:proofErr w:type="spellEnd"/>
      <w:r w:rsidR="006935D8">
        <w:t>/Sua5</w:t>
      </w:r>
      <w:r>
        <w:t xml:space="preserve">. </w:t>
      </w:r>
      <w:r w:rsidR="006935D8">
        <w:t xml:space="preserve">Ce motif est également essentiel pour l’activité enzymatique. </w:t>
      </w:r>
    </w:p>
    <w:p w14:paraId="7A89A53A" w14:textId="77777777" w:rsidR="00F82CF3" w:rsidRDefault="00F82CF3" w:rsidP="00F82CF3">
      <w:pPr>
        <w:jc w:val="both"/>
      </w:pPr>
      <w:r>
        <w:t xml:space="preserve">L’étude de distribution de Sua5 et </w:t>
      </w:r>
      <w:proofErr w:type="spellStart"/>
      <w:r>
        <w:t>TsaC</w:t>
      </w:r>
      <w:proofErr w:type="spellEnd"/>
      <w:r>
        <w:t xml:space="preserve"> au sein du vivant a démontré : (i) qu’au sein de</w:t>
      </w:r>
      <w:r w:rsidR="00033D53">
        <w:t>s</w:t>
      </w:r>
      <w:r>
        <w:t xml:space="preserve"> trois domaines on trouve à la fois Sua5 et </w:t>
      </w:r>
      <w:proofErr w:type="spellStart"/>
      <w:r>
        <w:t>TsaC</w:t>
      </w:r>
      <w:proofErr w:type="spellEnd"/>
      <w:r>
        <w:t xml:space="preserve"> ; (ii) que la distribution de ces protéines ne suit pas la phylogénie des organismes ; (iii) que, sauf rares exceptions, chaque organisme code pour un des deux variants ; </w:t>
      </w:r>
      <w:r w:rsidR="00033D53">
        <w:t>p</w:t>
      </w:r>
      <w:r>
        <w:t xml:space="preserve">armi ces exceptions on trouve les champignons du genre </w:t>
      </w:r>
      <w:r w:rsidRPr="00033D53">
        <w:rPr>
          <w:i/>
        </w:rPr>
        <w:t>Aspergillus</w:t>
      </w:r>
      <w:r>
        <w:t xml:space="preserve">. </w:t>
      </w:r>
    </w:p>
    <w:p w14:paraId="0D94A1FA" w14:textId="77777777" w:rsidR="00F82CF3" w:rsidRDefault="00F82CF3" w:rsidP="00F82CF3">
      <w:pPr>
        <w:jc w:val="both"/>
      </w:pPr>
    </w:p>
    <w:p w14:paraId="1A16A9B2" w14:textId="2C64A777" w:rsidR="00F82CF3" w:rsidRDefault="00F82CF3" w:rsidP="00F82CF3">
      <w:pPr>
        <w:jc w:val="both"/>
      </w:pPr>
      <w:r>
        <w:t>Au cours de ces travaux dirigés vous allez tenter de répondre à la question suivante : pourquoi existe</w:t>
      </w:r>
      <w:r w:rsidR="00033D53">
        <w:t>-t-il</w:t>
      </w:r>
      <w:r>
        <w:t xml:space="preserve"> deux versions d</w:t>
      </w:r>
      <w:r w:rsidR="00B31680">
        <w:t xml:space="preserve">’enzymes, Sua5 et </w:t>
      </w:r>
      <w:proofErr w:type="spellStart"/>
      <w:r w:rsidR="00B31680">
        <w:t>TsaC</w:t>
      </w:r>
      <w:proofErr w:type="spellEnd"/>
      <w:r w:rsidR="00B31680">
        <w:t xml:space="preserve">, pour </w:t>
      </w:r>
      <w:r>
        <w:t>la synthèse de la t</w:t>
      </w:r>
      <w:r w:rsidRPr="00BB1842">
        <w:rPr>
          <w:vertAlign w:val="superscript"/>
        </w:rPr>
        <w:t>6</w:t>
      </w:r>
      <w:r>
        <w:t xml:space="preserve">A ? Pour essayer d’y répondre nous allons tenter dans la partie I d’établir l’histoire évolutive de cette famille d’enzymes grâce à la construction d’arbres phylogénétiques. Dans la partie II, </w:t>
      </w:r>
      <w:r w:rsidR="002238FA">
        <w:t xml:space="preserve">vous allez essayer de mettre en évidence un évènement de transfert de gène horizontal </w:t>
      </w:r>
      <w:r w:rsidR="00220462">
        <w:t>au sein de la famille Sua5/</w:t>
      </w:r>
      <w:proofErr w:type="spellStart"/>
      <w:r w:rsidR="00220462">
        <w:t>TsaC</w:t>
      </w:r>
      <w:proofErr w:type="spellEnd"/>
      <w:r w:rsidR="003809E0">
        <w:t>. D</w:t>
      </w:r>
      <w:r w:rsidR="002238FA">
        <w:t xml:space="preserve">ans la partie III </w:t>
      </w:r>
      <w:r>
        <w:t>nous allons utiliser l’alignement de séquences pour identifier les résidus caractéristique</w:t>
      </w:r>
      <w:r w:rsidR="002238FA">
        <w:t>s</w:t>
      </w:r>
      <w:r>
        <w:t xml:space="preserve"> d’un variant ou de l’autre</w:t>
      </w:r>
      <w:r w:rsidR="003809E0">
        <w:t xml:space="preserve">, vous vous </w:t>
      </w:r>
      <w:r w:rsidR="008141A5">
        <w:t>appuierez</w:t>
      </w:r>
      <w:r w:rsidR="003809E0">
        <w:t xml:space="preserve"> sur ces résidus pour effectuer une classification cladistique</w:t>
      </w:r>
      <w:r>
        <w:t>.</w:t>
      </w:r>
      <w:r w:rsidR="00220462">
        <w:t xml:space="preserve"> </w:t>
      </w:r>
    </w:p>
    <w:p w14:paraId="2C794DA2" w14:textId="66626D65" w:rsidR="00DD16BA" w:rsidRDefault="00DD16BA" w:rsidP="00F82CF3">
      <w:pPr>
        <w:jc w:val="both"/>
      </w:pPr>
      <w:r>
        <w:t>Si vous voulez savoir comment nous avons mené l’étude pour répondre à cette question et avec quel résultat</w:t>
      </w:r>
      <w:r w:rsidR="008666B8">
        <w:t>,</w:t>
      </w:r>
      <w:r>
        <w:t xml:space="preserve"> vous pouvez lire notre article : Pichard-</w:t>
      </w:r>
      <w:proofErr w:type="spellStart"/>
      <w:r>
        <w:t>Kostuch</w:t>
      </w:r>
      <w:proofErr w:type="spellEnd"/>
      <w:r>
        <w:t xml:space="preserve"> et al. </w:t>
      </w:r>
      <w:r w:rsidRPr="00DD16BA">
        <w:rPr>
          <w:lang w:val="en-US"/>
        </w:rPr>
        <w:t>“The universal Sua5/</w:t>
      </w:r>
      <w:proofErr w:type="spellStart"/>
      <w:r w:rsidRPr="00DD16BA">
        <w:rPr>
          <w:lang w:val="en-US"/>
        </w:rPr>
        <w:t>TsaC</w:t>
      </w:r>
      <w:proofErr w:type="spellEnd"/>
      <w:r w:rsidRPr="00DD16BA">
        <w:rPr>
          <w:lang w:val="en-US"/>
        </w:rPr>
        <w:t xml:space="preserve"> family evolved different mechanisms for the synthesis of a key tRNA modification.” </w:t>
      </w:r>
      <w:proofErr w:type="spellStart"/>
      <w:r>
        <w:rPr>
          <w:i/>
          <w:iCs/>
        </w:rPr>
        <w:t>Frontiers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microbiology</w:t>
      </w:r>
      <w:proofErr w:type="spellEnd"/>
      <w:r>
        <w:t xml:space="preserve"> vol. 14 1204045. 21 Jun. 2023, </w:t>
      </w:r>
      <w:proofErr w:type="gramStart"/>
      <w:r>
        <w:t>doi:</w:t>
      </w:r>
      <w:proofErr w:type="gramEnd"/>
      <w:r>
        <w:t>10.3389/fmicb.2023.1204045</w:t>
      </w:r>
    </w:p>
    <w:p w14:paraId="151872C3" w14:textId="77777777" w:rsidR="00DD16BA" w:rsidRDefault="00DD16BA" w:rsidP="00F82CF3">
      <w:pPr>
        <w:jc w:val="both"/>
      </w:pPr>
    </w:p>
    <w:p w14:paraId="21A2400D" w14:textId="77777777" w:rsidR="00BB1842" w:rsidRDefault="00E649DE">
      <w:r>
        <w:t>PARTIE I</w:t>
      </w:r>
    </w:p>
    <w:p w14:paraId="687FE6A5" w14:textId="7E221B1F" w:rsidR="00D5022A" w:rsidRDefault="005275CF">
      <w:r>
        <w:t xml:space="preserve">1. </w:t>
      </w:r>
      <w:r w:rsidR="00BF13F0">
        <w:t xml:space="preserve">Trouvez dans le NCBI la séquence protéique de Sua5 issue de </w:t>
      </w:r>
      <w:proofErr w:type="spellStart"/>
      <w:r w:rsidR="00BF13F0" w:rsidRPr="00BF13F0">
        <w:rPr>
          <w:i/>
        </w:rPr>
        <w:t>Pyrococcus</w:t>
      </w:r>
      <w:proofErr w:type="spellEnd"/>
      <w:r w:rsidR="00BF13F0" w:rsidRPr="00BF13F0">
        <w:rPr>
          <w:i/>
        </w:rPr>
        <w:t xml:space="preserve"> </w:t>
      </w:r>
      <w:proofErr w:type="spellStart"/>
      <w:r w:rsidR="00BF13F0" w:rsidRPr="00BF13F0">
        <w:rPr>
          <w:i/>
        </w:rPr>
        <w:t>abyssi</w:t>
      </w:r>
      <w:proofErr w:type="spellEnd"/>
      <w:r w:rsidR="00B11FD0">
        <w:t>,</w:t>
      </w:r>
      <w:r w:rsidR="00BF13F0">
        <w:t xml:space="preserve"> une </w:t>
      </w:r>
      <w:proofErr w:type="spellStart"/>
      <w:r w:rsidR="001A4352">
        <w:t>eury</w:t>
      </w:r>
      <w:r w:rsidR="00BF13F0">
        <w:t>archée</w:t>
      </w:r>
      <w:proofErr w:type="spellEnd"/>
      <w:r w:rsidR="00BF13F0">
        <w:t xml:space="preserve"> hyperthermophile. </w:t>
      </w:r>
      <w:r w:rsidR="00964AD5">
        <w:t xml:space="preserve">Copiez-collez la séquence sous format FASTA : </w:t>
      </w:r>
    </w:p>
    <w:p w14:paraId="5B13F56F" w14:textId="77777777" w:rsidR="00964AD5" w:rsidRPr="005275CF" w:rsidRDefault="00964AD5">
      <w:pPr>
        <w:rPr>
          <w:lang w:val="en-US"/>
        </w:rPr>
      </w:pPr>
    </w:p>
    <w:p w14:paraId="27BB9B83" w14:textId="77777777" w:rsidR="00BF13F0" w:rsidRPr="008666B8" w:rsidRDefault="005275CF">
      <w:r w:rsidRPr="008666B8">
        <w:t xml:space="preserve">2. Quel est le numéro d’accession pour cette protéine ? </w:t>
      </w:r>
    </w:p>
    <w:p w14:paraId="1D2D5A92" w14:textId="77777777" w:rsidR="005275CF" w:rsidRDefault="005275CF"/>
    <w:p w14:paraId="26761C6F" w14:textId="7C56F228" w:rsidR="00070176" w:rsidRDefault="005275CF">
      <w:r>
        <w:t xml:space="preserve">3. </w:t>
      </w:r>
      <w:r w:rsidR="00C7667A">
        <w:t xml:space="preserve">Trouvez maintenant les orthologues de Sua5 chez les Archées de l’ordre </w:t>
      </w:r>
      <w:proofErr w:type="spellStart"/>
      <w:r w:rsidR="00C7667A">
        <w:t>Archaeoglobi</w:t>
      </w:r>
      <w:proofErr w:type="spellEnd"/>
      <w:r w:rsidR="00C7667A">
        <w:t xml:space="preserve">. </w:t>
      </w:r>
      <w:r>
        <w:t xml:space="preserve">Effectuez </w:t>
      </w:r>
      <w:r w:rsidR="00C7667A">
        <w:t>pour cela u</w:t>
      </w:r>
      <w:r>
        <w:t xml:space="preserve">n BLAST protéique </w:t>
      </w:r>
      <w:r w:rsidR="00C7667A">
        <w:t>contre la base de données « non-</w:t>
      </w:r>
      <w:proofErr w:type="spellStart"/>
      <w:r w:rsidR="00C7667A">
        <w:t>redundant</w:t>
      </w:r>
      <w:proofErr w:type="spellEnd"/>
      <w:r w:rsidR="00C7667A">
        <w:t xml:space="preserve"> </w:t>
      </w:r>
      <w:proofErr w:type="spellStart"/>
      <w:r w:rsidR="00C7667A">
        <w:t>protein</w:t>
      </w:r>
      <w:proofErr w:type="spellEnd"/>
      <w:r w:rsidR="00C7667A">
        <w:t xml:space="preserve"> </w:t>
      </w:r>
      <w:proofErr w:type="spellStart"/>
      <w:r w:rsidR="00C7667A">
        <w:t>sequences</w:t>
      </w:r>
      <w:proofErr w:type="spellEnd"/>
      <w:r w:rsidR="00C7667A">
        <w:t xml:space="preserve"> » </w:t>
      </w:r>
      <w:r>
        <w:t xml:space="preserve">en </w:t>
      </w:r>
      <w:r w:rsidR="00C7667A">
        <w:t>restreignant la recherche uniquement au sein d’</w:t>
      </w:r>
      <w:proofErr w:type="spellStart"/>
      <w:r w:rsidR="00C7667A">
        <w:t>Archaeoglobi</w:t>
      </w:r>
      <w:proofErr w:type="spellEnd"/>
      <w:r w:rsidR="00C7667A">
        <w:t>. Trouvez l’</w:t>
      </w:r>
      <w:r w:rsidR="007B6B58">
        <w:t xml:space="preserve">alignement obtenu pour </w:t>
      </w:r>
      <w:proofErr w:type="spellStart"/>
      <w:r w:rsidR="007B6B58" w:rsidRPr="007B6B58">
        <w:rPr>
          <w:i/>
        </w:rPr>
        <w:t>Archaeoglobus</w:t>
      </w:r>
      <w:proofErr w:type="spellEnd"/>
      <w:r w:rsidR="007B6B58" w:rsidRPr="007B6B58">
        <w:rPr>
          <w:i/>
        </w:rPr>
        <w:t xml:space="preserve"> </w:t>
      </w:r>
      <w:proofErr w:type="spellStart"/>
      <w:r w:rsidR="007B6B58" w:rsidRPr="007B6B58">
        <w:rPr>
          <w:i/>
        </w:rPr>
        <w:t>veneficus</w:t>
      </w:r>
      <w:proofErr w:type="spellEnd"/>
      <w:r w:rsidR="007B6B58">
        <w:t xml:space="preserve"> </w:t>
      </w:r>
      <w:r w:rsidR="00C7667A">
        <w:t>et c</w:t>
      </w:r>
      <w:r w:rsidR="007B6B58">
        <w:t>opiez</w:t>
      </w:r>
      <w:r w:rsidR="00173D7F">
        <w:t>-</w:t>
      </w:r>
      <w:r w:rsidR="007B6B58">
        <w:t xml:space="preserve">collez cet alignement </w:t>
      </w:r>
      <w:r w:rsidR="00C7667A">
        <w:t>ci-dessous</w:t>
      </w:r>
      <w:r w:rsidR="003D4863">
        <w:t>.</w:t>
      </w:r>
      <w:r w:rsidR="007B6B58">
        <w:t xml:space="preserve"> </w:t>
      </w:r>
      <w:r w:rsidR="008666B8">
        <w:t>(</w:t>
      </w:r>
      <w:proofErr w:type="gramStart"/>
      <w:r w:rsidR="008666B8">
        <w:t>vous</w:t>
      </w:r>
      <w:proofErr w:type="gramEnd"/>
      <w:r w:rsidR="008666B8">
        <w:t xml:space="preserve"> pouvez utiliser ctrl + F pour chercher le mot « </w:t>
      </w:r>
      <w:proofErr w:type="spellStart"/>
      <w:r w:rsidR="008666B8">
        <w:t>veneficus</w:t>
      </w:r>
      <w:proofErr w:type="spellEnd"/>
      <w:r w:rsidR="008666B8">
        <w:t> » dans la page des résultats)</w:t>
      </w:r>
      <w:r w:rsidR="00165FDB">
        <w:t xml:space="preserve">. </w:t>
      </w:r>
    </w:p>
    <w:p w14:paraId="62E17862" w14:textId="587460B3" w:rsidR="003D4863" w:rsidRDefault="003D4863"/>
    <w:p w14:paraId="06BDF9B6" w14:textId="2D1A3EA1" w:rsidR="00070176" w:rsidRDefault="00916AA8">
      <w:r>
        <w:t xml:space="preserve">4. </w:t>
      </w:r>
      <w:r w:rsidR="008C523E">
        <w:t>Qu’</w:t>
      </w:r>
      <w:r>
        <w:t>est-ce</w:t>
      </w:r>
      <w:r w:rsidR="008C523E">
        <w:t xml:space="preserve"> qu</w:t>
      </w:r>
      <w:r w:rsidR="00173D7F">
        <w:t>’</w:t>
      </w:r>
      <w:r w:rsidR="008C523E">
        <w:t>un alignement</w:t>
      </w:r>
      <w:r w:rsidR="00190D53">
        <w:t xml:space="preserve"> de séquences</w:t>
      </w:r>
      <w:r w:rsidR="008C523E">
        <w:t xml:space="preserve"> ? </w:t>
      </w:r>
    </w:p>
    <w:p w14:paraId="1DC64DEB" w14:textId="4D42162D" w:rsidR="00BD2652" w:rsidRDefault="008666B8">
      <w:r>
        <w:t>5</w:t>
      </w:r>
      <w:r w:rsidR="00916AA8">
        <w:t xml:space="preserve">. </w:t>
      </w:r>
      <w:r w:rsidR="00BD2652">
        <w:t xml:space="preserve">Qu’est que c’est un </w:t>
      </w:r>
      <w:proofErr w:type="spellStart"/>
      <w:r w:rsidR="00D250A6">
        <w:t>indel</w:t>
      </w:r>
      <w:proofErr w:type="spellEnd"/>
      <w:r w:rsidR="00BD2652">
        <w:t xml:space="preserve"> ? Est-ce que cet alignement en </w:t>
      </w:r>
      <w:r w:rsidR="00916AA8">
        <w:t>contient</w:t>
      </w:r>
      <w:r w:rsidR="00BD2652">
        <w:t xml:space="preserve"> ? Justifiez. </w:t>
      </w:r>
    </w:p>
    <w:p w14:paraId="53C882E6" w14:textId="35FD8B75" w:rsidR="00070176" w:rsidRDefault="008666B8">
      <w:r>
        <w:t>6</w:t>
      </w:r>
      <w:r w:rsidR="00DF13B6">
        <w:t xml:space="preserve">. </w:t>
      </w:r>
      <w:r w:rsidR="00BD2652">
        <w:t>Au vue de l’alignement, l</w:t>
      </w:r>
      <w:r w:rsidR="007B6B58">
        <w:t xml:space="preserve">a protéine de </w:t>
      </w:r>
      <w:r w:rsidR="007B6B58" w:rsidRPr="007B6B58">
        <w:rPr>
          <w:i/>
        </w:rPr>
        <w:t xml:space="preserve">A. </w:t>
      </w:r>
      <w:proofErr w:type="spellStart"/>
      <w:r w:rsidR="007B6B58" w:rsidRPr="007B6B58">
        <w:rPr>
          <w:i/>
        </w:rPr>
        <w:t>veneficus</w:t>
      </w:r>
      <w:proofErr w:type="spellEnd"/>
      <w:r w:rsidR="007B6B58">
        <w:t xml:space="preserve"> </w:t>
      </w:r>
      <w:r w:rsidR="00E07724">
        <w:t>est-elle</w:t>
      </w:r>
      <w:r w:rsidR="007B6B58">
        <w:t xml:space="preserve"> homologue à celle de </w:t>
      </w:r>
      <w:r w:rsidR="007B6B58" w:rsidRPr="00BB75B0">
        <w:rPr>
          <w:i/>
        </w:rPr>
        <w:t xml:space="preserve">P. </w:t>
      </w:r>
      <w:proofErr w:type="spellStart"/>
      <w:r w:rsidR="007B6B58" w:rsidRPr="00BB75B0">
        <w:rPr>
          <w:i/>
        </w:rPr>
        <w:t>abyssi</w:t>
      </w:r>
      <w:proofErr w:type="spellEnd"/>
      <w:r w:rsidR="007B6B58">
        <w:t xml:space="preserve"> ? Justifiez. </w:t>
      </w:r>
    </w:p>
    <w:p w14:paraId="60369E1D" w14:textId="3DFF5A0F" w:rsidR="007B6B58" w:rsidRDefault="008666B8">
      <w:r>
        <w:t>7</w:t>
      </w:r>
      <w:r w:rsidR="00DF13B6">
        <w:t xml:space="preserve">. </w:t>
      </w:r>
      <w:r w:rsidR="007B6B58">
        <w:t>S’agit-il d’un orthologue</w:t>
      </w:r>
      <w:r w:rsidR="00E07724">
        <w:t xml:space="preserve"> ou</w:t>
      </w:r>
      <w:r w:rsidR="00DF13B6">
        <w:t xml:space="preserve"> </w:t>
      </w:r>
      <w:r w:rsidR="007B6B58">
        <w:t xml:space="preserve">d’un </w:t>
      </w:r>
      <w:proofErr w:type="gramStart"/>
      <w:r w:rsidR="007B6B58">
        <w:t>paralogue?</w:t>
      </w:r>
      <w:proofErr w:type="gramEnd"/>
      <w:r w:rsidR="007B6B58">
        <w:t xml:space="preserve"> </w:t>
      </w:r>
      <w:r w:rsidR="00DF13B6">
        <w:t xml:space="preserve">Justifiez. </w:t>
      </w:r>
    </w:p>
    <w:p w14:paraId="5376D042" w14:textId="04DAF756" w:rsidR="00440C2C" w:rsidRDefault="008666B8">
      <w:r>
        <w:t>8</w:t>
      </w:r>
      <w:r w:rsidR="00440C2C">
        <w:t xml:space="preserve">. </w:t>
      </w:r>
      <w:r w:rsidR="00107023">
        <w:t xml:space="preserve">Les Archées sont actuellement classées dans quatre </w:t>
      </w:r>
      <w:proofErr w:type="spellStart"/>
      <w:r w:rsidR="00107023">
        <w:t>superphylum</w:t>
      </w:r>
      <w:proofErr w:type="spellEnd"/>
      <w:r w:rsidR="00107023">
        <w:t xml:space="preserve">. </w:t>
      </w:r>
      <w:proofErr w:type="gramStart"/>
      <w:r w:rsidR="00107023">
        <w:t>Citez les</w:t>
      </w:r>
      <w:proofErr w:type="gramEnd"/>
      <w:r w:rsidR="00107023">
        <w:t>. Vous trouverez cette information dans la base de données</w:t>
      </w:r>
      <w:r w:rsidR="00440C2C">
        <w:t xml:space="preserve"> NCBI </w:t>
      </w:r>
      <w:proofErr w:type="spellStart"/>
      <w:r w:rsidR="00440C2C">
        <w:t>taxonomy</w:t>
      </w:r>
      <w:proofErr w:type="spellEnd"/>
      <w:r w:rsidR="00107023">
        <w:t xml:space="preserve">. </w:t>
      </w:r>
      <w:r w:rsidR="00066F4D">
        <w:t xml:space="preserve">Utilisez le niveau taxonomique le plus bas (display = 1) pour afficher uniquement les </w:t>
      </w:r>
      <w:proofErr w:type="spellStart"/>
      <w:r w:rsidR="00066F4D">
        <w:t>superphyla</w:t>
      </w:r>
      <w:proofErr w:type="spellEnd"/>
      <w:r w:rsidR="00066F4D">
        <w:t>. Vous pouvez ignorer les groupes « candidats » ou les groupes avec un positionnement taxonomique incertain (</w:t>
      </w:r>
      <w:proofErr w:type="spellStart"/>
      <w:r w:rsidR="00066F4D">
        <w:t>incertae</w:t>
      </w:r>
      <w:proofErr w:type="spellEnd"/>
      <w:r w:rsidR="00066F4D">
        <w:t xml:space="preserve"> </w:t>
      </w:r>
      <w:proofErr w:type="spellStart"/>
      <w:r w:rsidR="00066F4D">
        <w:t>sedis</w:t>
      </w:r>
      <w:proofErr w:type="spellEnd"/>
      <w:r w:rsidR="00066F4D">
        <w:t xml:space="preserve"> ou </w:t>
      </w:r>
      <w:proofErr w:type="spellStart"/>
      <w:r w:rsidR="00066F4D">
        <w:t>unclassified</w:t>
      </w:r>
      <w:proofErr w:type="spellEnd"/>
      <w:r w:rsidR="00066F4D">
        <w:t xml:space="preserve"> ou </w:t>
      </w:r>
      <w:proofErr w:type="spellStart"/>
      <w:r w:rsidR="00066F4D">
        <w:t>environmental</w:t>
      </w:r>
      <w:proofErr w:type="spellEnd"/>
      <w:r w:rsidR="00066F4D">
        <w:t xml:space="preserve"> </w:t>
      </w:r>
      <w:proofErr w:type="spellStart"/>
      <w:r w:rsidR="00066F4D">
        <w:t>samples</w:t>
      </w:r>
      <w:proofErr w:type="spellEnd"/>
      <w:r w:rsidR="00066F4D">
        <w:t>)</w:t>
      </w:r>
    </w:p>
    <w:p w14:paraId="429B24F5" w14:textId="77777777" w:rsidR="00440C2C" w:rsidRDefault="00440C2C"/>
    <w:p w14:paraId="54E5AC8F" w14:textId="1131A30C" w:rsidR="00DF13B6" w:rsidRDefault="0080180E">
      <w:r>
        <w:t>9</w:t>
      </w:r>
      <w:r w:rsidR="003451BD">
        <w:t>.</w:t>
      </w:r>
      <w:r w:rsidR="00036F5B">
        <w:t xml:space="preserve"> </w:t>
      </w:r>
      <w:r w:rsidR="00107023">
        <w:t>V</w:t>
      </w:r>
      <w:r w:rsidR="00947A80">
        <w:t xml:space="preserve">otre prochain </w:t>
      </w:r>
      <w:r w:rsidR="00165FDB">
        <w:t xml:space="preserve">objectif </w:t>
      </w:r>
      <w:r w:rsidR="00947A80">
        <w:t xml:space="preserve">sera de construire un arbre phylogénétique pour </w:t>
      </w:r>
      <w:proofErr w:type="gramStart"/>
      <w:r w:rsidR="00947A80">
        <w:t>l</w:t>
      </w:r>
      <w:r w:rsidR="00D61797">
        <w:t>es séquence</w:t>
      </w:r>
      <w:proofErr w:type="gramEnd"/>
      <w:r w:rsidR="00D61797">
        <w:t xml:space="preserve"> représentatives de l</w:t>
      </w:r>
      <w:r w:rsidR="00947A80">
        <w:t xml:space="preserve">a famille </w:t>
      </w:r>
      <w:proofErr w:type="spellStart"/>
      <w:r w:rsidR="00947A80">
        <w:t>TsaC</w:t>
      </w:r>
      <w:proofErr w:type="spellEnd"/>
      <w:r w:rsidR="00947A80">
        <w:t>/Sua5 chez les Archées. Pour ce faire, vous avez choisi</w:t>
      </w:r>
      <w:r w:rsidR="00461384">
        <w:t xml:space="preserve">, en plus de la séquence de Sua5 de </w:t>
      </w:r>
      <w:r w:rsidR="00461384" w:rsidRPr="00D61797">
        <w:rPr>
          <w:i/>
        </w:rPr>
        <w:t xml:space="preserve">P. </w:t>
      </w:r>
      <w:proofErr w:type="spellStart"/>
      <w:r w:rsidR="00461384" w:rsidRPr="00D61797">
        <w:rPr>
          <w:i/>
        </w:rPr>
        <w:t>abyssi</w:t>
      </w:r>
      <w:proofErr w:type="spellEnd"/>
      <w:r w:rsidR="00461384">
        <w:t>,</w:t>
      </w:r>
      <w:r w:rsidR="00947A80">
        <w:t xml:space="preserve"> </w:t>
      </w:r>
      <w:r w:rsidR="006935D8">
        <w:t xml:space="preserve">les </w:t>
      </w:r>
      <w:r w:rsidR="00947A80">
        <w:t>séquences</w:t>
      </w:r>
      <w:r w:rsidR="006935D8">
        <w:t xml:space="preserve"> ci-dessous</w:t>
      </w:r>
      <w:r w:rsidR="00947A80">
        <w:t xml:space="preserve"> : </w:t>
      </w:r>
    </w:p>
    <w:p w14:paraId="0A19D6D3" w14:textId="77777777" w:rsidR="00E07724" w:rsidRPr="0013381F" w:rsidRDefault="00E07724">
      <w:pPr>
        <w:rPr>
          <w:color w:val="000000" w:themeColor="text1"/>
          <w:lang w:val="en-GB"/>
        </w:rPr>
      </w:pPr>
      <w:proofErr w:type="spellStart"/>
      <w:proofErr w:type="gramStart"/>
      <w:r w:rsidRPr="0013381F">
        <w:rPr>
          <w:color w:val="000000" w:themeColor="text1"/>
          <w:lang w:val="en-GB"/>
        </w:rPr>
        <w:t>Asgard</w:t>
      </w:r>
      <w:proofErr w:type="spellEnd"/>
      <w:r w:rsidRPr="0013381F">
        <w:rPr>
          <w:color w:val="000000" w:themeColor="text1"/>
          <w:lang w:val="en-GB"/>
        </w:rPr>
        <w:t> :</w:t>
      </w:r>
      <w:proofErr w:type="gramEnd"/>
      <w:r w:rsidRPr="0013381F">
        <w:rPr>
          <w:color w:val="000000" w:themeColor="text1"/>
          <w:lang w:val="en-GB"/>
        </w:rPr>
        <w:t xml:space="preserve"> </w:t>
      </w:r>
    </w:p>
    <w:p w14:paraId="1C530D35" w14:textId="5306235C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 w:rsidR="00A67186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Asgard_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RLI59347.1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threonylcarbamoyl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-AMP synthase [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Candidatus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Thorarchaeota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archaeon]</w:t>
      </w:r>
    </w:p>
    <w:p w14:paraId="392E78B4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MVRIFRWPLRESEREMLSAILMNGGVVVYPTDTIYGIGGIIYDRRVVDKIYKIKERLRDKGLPILFGSIE</w:t>
      </w:r>
    </w:p>
    <w:p w14:paraId="46D9720C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KIEEIAILNPLAKKLAQRFWPGMLTLVVPLKRRELRFLTGLEDKIAVRIPSDEIVLEVIKLAGGAIIGTS</w:t>
      </w:r>
    </w:p>
    <w:p w14:paraId="1EF91C57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ANLSGKLPCTNIKCVISQLGERMDAIVDGGERGTGFPSTIVEIQDDKKIKIIREGSIEVEKIKEAIGLEF</w:t>
      </w:r>
    </w:p>
    <w:p w14:paraId="55C0F13F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S</w:t>
      </w:r>
    </w:p>
    <w:p w14:paraId="65F3EE34" w14:textId="77777777" w:rsidR="00E07724" w:rsidRPr="0013381F" w:rsidRDefault="00E07724">
      <w:pPr>
        <w:rPr>
          <w:color w:val="000000" w:themeColor="text1"/>
          <w:lang w:val="en-GB"/>
        </w:rPr>
      </w:pPr>
    </w:p>
    <w:p w14:paraId="5A062571" w14:textId="77777777" w:rsidR="00E07724" w:rsidRPr="0013381F" w:rsidRDefault="00E07724">
      <w:pPr>
        <w:rPr>
          <w:color w:val="000000" w:themeColor="text1"/>
          <w:lang w:val="en-GB"/>
        </w:rPr>
      </w:pPr>
      <w:r w:rsidRPr="0013381F">
        <w:rPr>
          <w:color w:val="000000" w:themeColor="text1"/>
          <w:lang w:val="en-GB"/>
        </w:rPr>
        <w:t>DPANN</w:t>
      </w:r>
    </w:p>
    <w:p w14:paraId="38D7571D" w14:textId="2881CDB9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 w:rsidR="00A67186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DPANN_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RLG13225.1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threonylcarbamoyl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-AMP synthase [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Candidatus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Pacearchaeota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archaeon]</w:t>
      </w:r>
    </w:p>
    <w:p w14:paraId="3835BF10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MEVEIIKVKEKLADNELIQAIRYLEQEKTVVFPTDTVYGIGADLFKEKAVKNLFEIKKRPLDKPINALVS</w:t>
      </w:r>
    </w:p>
    <w:p w14:paraId="00EFA641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SMKQAEMIVENIPDSAKKLIKEFWPGGLTIILKKKDIVPDIVTAGRETIGVRKPNNEIILQILEKFGKPL</w:t>
      </w:r>
    </w:p>
    <w:p w14:paraId="04C9AC23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AATSANISGLTSPITAKEVLQQLGEKSYLLIDGGKTIEKQPSTIIDLSSKKPLILRKGSVSVEKIKEILP</w:t>
      </w:r>
    </w:p>
    <w:p w14:paraId="47DD67BF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SIIE</w:t>
      </w:r>
    </w:p>
    <w:p w14:paraId="13E1F618" w14:textId="77777777" w:rsidR="00440C2C" w:rsidRPr="0013381F" w:rsidRDefault="00440C2C">
      <w:pPr>
        <w:rPr>
          <w:color w:val="000000" w:themeColor="text1"/>
          <w:lang w:val="en-GB"/>
        </w:rPr>
      </w:pPr>
    </w:p>
    <w:p w14:paraId="5EAAB9EE" w14:textId="77777777" w:rsidR="00440C2C" w:rsidRPr="0013381F" w:rsidRDefault="00E07724">
      <w:pPr>
        <w:rPr>
          <w:color w:val="000000" w:themeColor="text1"/>
          <w:lang w:val="en-GB"/>
        </w:rPr>
      </w:pPr>
      <w:r w:rsidRPr="0013381F">
        <w:rPr>
          <w:color w:val="000000" w:themeColor="text1"/>
          <w:lang w:val="en-GB"/>
        </w:rPr>
        <w:t>TACK</w:t>
      </w:r>
    </w:p>
    <w:p w14:paraId="56ABB6AD" w14:textId="101CA3CA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 w:rsidR="00A67186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TACK_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AIF13504.1 Sua5/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YciO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/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YrdC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/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YwlC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family protein (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rimN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, SUA5) [uncultured marine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thaumarchaeote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KM3_62_H02]</w:t>
      </w:r>
    </w:p>
    <w:p w14:paraId="148BF52D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MKISCNDVDIQIATKAINDGAIVVFPTDTVYGLGCNPYNHDAVLSLYEIKKRKKTKPFPVLGYSKKELEK</w:t>
      </w:r>
    </w:p>
    <w:p w14:paraId="58496928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IAEFNSLEEKIAEKFWPGPITLILKVKDKEIQKSLDLEGKIAVRVPNNQCILALLKECKLLVGTSANISG</w:t>
      </w:r>
    </w:p>
    <w:p w14:paraId="13540B03" w14:textId="77777777" w:rsidR="00E07724" w:rsidRPr="0013381F" w:rsidRDefault="00E07724" w:rsidP="00E07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TAPFNDPKECGENLSGYDLLIDGGVISSQGESTIVEIENNDVKILRKGSVSEEMIKELT</w:t>
      </w:r>
    </w:p>
    <w:p w14:paraId="1A371FA6" w14:textId="77777777" w:rsidR="00E07724" w:rsidRPr="0013381F" w:rsidRDefault="00E07724">
      <w:pPr>
        <w:rPr>
          <w:color w:val="000000" w:themeColor="text1"/>
          <w:lang w:val="en-GB"/>
        </w:rPr>
      </w:pPr>
    </w:p>
    <w:p w14:paraId="4FC5E790" w14:textId="77777777" w:rsidR="005275CF" w:rsidRPr="0013381F" w:rsidRDefault="001A7D95">
      <w:pPr>
        <w:rPr>
          <w:color w:val="000000" w:themeColor="text1"/>
          <w:lang w:val="en-GB"/>
        </w:rPr>
      </w:pPr>
      <w:proofErr w:type="spellStart"/>
      <w:r w:rsidRPr="0013381F">
        <w:rPr>
          <w:color w:val="000000" w:themeColor="text1"/>
          <w:lang w:val="en-GB"/>
        </w:rPr>
        <w:t>Euryarchaeota</w:t>
      </w:r>
      <w:proofErr w:type="spellEnd"/>
      <w:r w:rsidRPr="0013381F">
        <w:rPr>
          <w:color w:val="000000" w:themeColor="text1"/>
          <w:lang w:val="en-GB"/>
        </w:rPr>
        <w:t>:</w:t>
      </w:r>
    </w:p>
    <w:p w14:paraId="76516B5B" w14:textId="7D59700F" w:rsidR="001A7D95" w:rsidRPr="0013381F" w:rsidRDefault="001A7D95" w:rsidP="001A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 w:rsidR="00A67186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Euryarcheeota_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WP_042702101.1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threonylcarbamoyl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-AMP synthase [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Methanobrevibacter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arboriphilus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]</w:t>
      </w:r>
    </w:p>
    <w:p w14:paraId="2C907F6A" w14:textId="77777777" w:rsidR="001A7D95" w:rsidRPr="0013381F" w:rsidRDefault="001A7D95" w:rsidP="001A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MKIVQMDQNNPDLDLIDEAIEVLTSGGVVLYPTDTVYGLGANVFNEKAVEKVYNIKNRDYFKPLSVCVSS</w:t>
      </w:r>
    </w:p>
    <w:p w14:paraId="3E74DB00" w14:textId="77777777" w:rsidR="001A7D95" w:rsidRPr="0013381F" w:rsidRDefault="001A7D95" w:rsidP="001A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IDEILLIADVGNNKTHQILKNNLPGPFTFIFYKKEPIHNYATKNHKVGIRIPENIISRKLTQSFPITTTS</w:t>
      </w:r>
    </w:p>
    <w:p w14:paraId="24027282" w14:textId="4A8055D2" w:rsidR="001A7D95" w:rsidRDefault="001A7D95" w:rsidP="001A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ANLSGKKTLNNPDEIINQLNEGIDFVIDVGRLKQSEPSTIVDLTKKEPKILRKGSGILKSF</w:t>
      </w:r>
    </w:p>
    <w:p w14:paraId="3869312E" w14:textId="19876801" w:rsidR="00461384" w:rsidRDefault="00461384" w:rsidP="001A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</w:p>
    <w:p w14:paraId="6E770CAA" w14:textId="77777777" w:rsidR="00461384" w:rsidRPr="00461384" w:rsidRDefault="00461384" w:rsidP="0046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</w:pPr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 xml:space="preserve">&gt;WP_010868714.1 </w:t>
      </w:r>
      <w:proofErr w:type="spellStart"/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threonylcarbamoyl</w:t>
      </w:r>
      <w:proofErr w:type="spellEnd"/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-AMP synthase [</w:t>
      </w:r>
      <w:proofErr w:type="spellStart"/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Pyrococcus</w:t>
      </w:r>
      <w:proofErr w:type="spellEnd"/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 xml:space="preserve"> </w:t>
      </w:r>
      <w:proofErr w:type="spellStart"/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abyssi</w:t>
      </w:r>
      <w:proofErr w:type="spellEnd"/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]</w:t>
      </w:r>
    </w:p>
    <w:p w14:paraId="682DC1F4" w14:textId="77777777" w:rsidR="00461384" w:rsidRPr="00461384" w:rsidRDefault="00461384" w:rsidP="0046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</w:pPr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MTIIINVRERIEEWKIRIAAGFIREGKLVAFPTETVYGLGANALDENAVKRIFEAKGRPADNPLIIHIAS</w:t>
      </w:r>
    </w:p>
    <w:p w14:paraId="3E769292" w14:textId="77777777" w:rsidR="00461384" w:rsidRPr="00461384" w:rsidRDefault="00461384" w:rsidP="0046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</w:pPr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FEQLEVLAKEIPEEAEMLAKRFWPGPLTLVLPKSEVVPRVITGGLDTVAVRMPAHEIALKLIELSERPIA</w:t>
      </w:r>
    </w:p>
    <w:p w14:paraId="65E1B837" w14:textId="77777777" w:rsidR="00461384" w:rsidRPr="00461384" w:rsidRDefault="00461384" w:rsidP="0046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</w:pPr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APSANISGKPSPTSAHHVAEDFYGKIECIIDGGETRIGVESTVIDLTEWPPVLLRPGGLPLEEIEKVIGE</w:t>
      </w:r>
    </w:p>
    <w:p w14:paraId="1F64F345" w14:textId="77777777" w:rsidR="00461384" w:rsidRPr="00461384" w:rsidRDefault="00461384" w:rsidP="0046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</w:pPr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IRIHPAVYGKSVDTAKAPGMKYRHYAPSAEVIVVEGPRDKVRRKIEELIAKFKEEGKKVGVIGSGSYDAD</w:t>
      </w:r>
    </w:p>
    <w:p w14:paraId="7ED55702" w14:textId="77777777" w:rsidR="00461384" w:rsidRPr="00461384" w:rsidRDefault="00461384" w:rsidP="0046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</w:pPr>
      <w:r w:rsidRPr="00461384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fr-FR"/>
        </w:rPr>
        <w:t>EVFYLGDTVEEIARNLFKALRHMDRTGVDVILAEGVEEKGLGLAVMNRLRKASGYRIIKV</w:t>
      </w:r>
    </w:p>
    <w:p w14:paraId="7AADBDA2" w14:textId="77777777" w:rsidR="00461384" w:rsidRPr="00461384" w:rsidRDefault="00461384" w:rsidP="001A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</w:p>
    <w:p w14:paraId="1B8544D8" w14:textId="77777777" w:rsidR="006935D8" w:rsidRPr="0013381F" w:rsidRDefault="006935D8">
      <w:pPr>
        <w:rPr>
          <w:lang w:val="en-GB"/>
        </w:rPr>
      </w:pPr>
    </w:p>
    <w:p w14:paraId="0CEFA119" w14:textId="418686A5" w:rsidR="001A7D95" w:rsidRPr="00D61797" w:rsidRDefault="006935D8">
      <w:r w:rsidRPr="00D61797">
        <w:t>Expliquez q</w:t>
      </w:r>
      <w:r w:rsidR="00906680" w:rsidRPr="00D61797">
        <w:t>uel est le raisonnement derrière ce choix</w:t>
      </w:r>
      <w:r w:rsidR="004A4EA9" w:rsidRPr="00D61797">
        <w:t xml:space="preserve"> </w:t>
      </w:r>
      <w:r w:rsidR="005E3FA5" w:rsidRPr="00D61797">
        <w:t xml:space="preserve">de séquences </w:t>
      </w:r>
      <w:r w:rsidR="004A4EA9" w:rsidRPr="00D61797">
        <w:t>par rapport à votre objectif</w:t>
      </w:r>
      <w:r w:rsidR="00D61797" w:rsidRPr="00D61797">
        <w:t>, dé</w:t>
      </w:r>
      <w:r w:rsidR="00D61797">
        <w:t xml:space="preserve">crire l’histoire évolutive de la famille </w:t>
      </w:r>
      <w:proofErr w:type="spellStart"/>
      <w:r w:rsidR="00D61797">
        <w:t>TsaC</w:t>
      </w:r>
      <w:proofErr w:type="spellEnd"/>
      <w:r w:rsidR="00D61797">
        <w:t>/Sua5 chez les Archées</w:t>
      </w:r>
      <w:r w:rsidR="00906680" w:rsidRPr="00D61797">
        <w:t xml:space="preserve"> ? </w:t>
      </w:r>
    </w:p>
    <w:p w14:paraId="7FAC97B8" w14:textId="77777777" w:rsidR="006935D8" w:rsidRDefault="006935D8" w:rsidP="006935D8"/>
    <w:p w14:paraId="6003F494" w14:textId="4658C062" w:rsidR="005275CF" w:rsidRDefault="00B43686">
      <w:r>
        <w:t>1</w:t>
      </w:r>
      <w:r w:rsidR="0080180E">
        <w:t>0</w:t>
      </w:r>
      <w:r w:rsidR="008C523E" w:rsidRPr="00871519">
        <w:t xml:space="preserve">. </w:t>
      </w:r>
      <w:r w:rsidR="00871519" w:rsidRPr="00871519">
        <w:t>U</w:t>
      </w:r>
      <w:r w:rsidR="00871519">
        <w:t>t</w:t>
      </w:r>
      <w:r w:rsidR="00871519" w:rsidRPr="00871519">
        <w:t xml:space="preserve">ilisez maintenant </w:t>
      </w:r>
      <w:proofErr w:type="spellStart"/>
      <w:r w:rsidR="00871519" w:rsidRPr="00871519">
        <w:t>Clustal</w:t>
      </w:r>
      <w:proofErr w:type="spellEnd"/>
      <w:r w:rsidR="00871519" w:rsidRPr="00871519">
        <w:t xml:space="preserve"> Omega</w:t>
      </w:r>
      <w:r w:rsidR="005E3FA5">
        <w:t xml:space="preserve"> (</w:t>
      </w:r>
      <w:r w:rsidR="00D61797" w:rsidRPr="00D61797">
        <w:rPr>
          <w:b/>
        </w:rPr>
        <w:t>https://www.ebi.ac.uk/jdispatcher/msa/clustalo</w:t>
      </w:r>
      <w:r w:rsidR="00D61797">
        <w:t>)</w:t>
      </w:r>
      <w:r w:rsidR="00D61797" w:rsidRPr="00D61797">
        <w:t xml:space="preserve"> </w:t>
      </w:r>
      <w:r w:rsidR="00871519" w:rsidRPr="00871519">
        <w:t xml:space="preserve">pour aligner les </w:t>
      </w:r>
      <w:r w:rsidR="00D61797">
        <w:t>5</w:t>
      </w:r>
      <w:r w:rsidR="00871519" w:rsidRPr="00871519">
        <w:t xml:space="preserve"> séquences qu</w:t>
      </w:r>
      <w:r w:rsidR="00871519">
        <w:t xml:space="preserve">e vous avez choisies. </w:t>
      </w:r>
      <w:r w:rsidR="002C1EC5">
        <w:t xml:space="preserve">Copiez-collez le </w:t>
      </w:r>
      <w:r w:rsidR="003010B8">
        <w:t>résultat</w:t>
      </w:r>
      <w:r w:rsidR="002C1EC5">
        <w:t xml:space="preserve"> ci-dessous. </w:t>
      </w:r>
      <w:r w:rsidR="00D61797">
        <w:t>Ensuite, t</w:t>
      </w:r>
      <w:r w:rsidR="00960A95">
        <w:t xml:space="preserve">éléchargez le fichier d’alignement sous forme </w:t>
      </w:r>
      <w:proofErr w:type="spellStart"/>
      <w:r w:rsidR="00960A95">
        <w:t>clustal</w:t>
      </w:r>
      <w:proofErr w:type="spellEnd"/>
      <w:r w:rsidR="00D61797">
        <w:t xml:space="preserve"> (cliquer sur le bouton « download » à gauche)</w:t>
      </w:r>
      <w:r w:rsidR="00960A95">
        <w:t>, nommez le « </w:t>
      </w:r>
      <w:r w:rsidR="00960A95" w:rsidRPr="00960A95">
        <w:t>clustalo-PaSua5_Archaea</w:t>
      </w:r>
      <w:r w:rsidR="00960A95">
        <w:t xml:space="preserve"> » et sauvegardez-le sur votre bureau. </w:t>
      </w:r>
    </w:p>
    <w:p w14:paraId="3DCBDC51" w14:textId="77777777" w:rsidR="002C1EC5" w:rsidRDefault="002C1EC5"/>
    <w:p w14:paraId="50CFE751" w14:textId="6FEB267D" w:rsidR="003865BB" w:rsidRDefault="00B43686">
      <w:r>
        <w:t>1</w:t>
      </w:r>
      <w:r w:rsidR="0080180E">
        <w:t>1</w:t>
      </w:r>
      <w:r>
        <w:t xml:space="preserve">. </w:t>
      </w:r>
      <w:r w:rsidR="001A19CB">
        <w:t xml:space="preserve">Identifiez </w:t>
      </w:r>
      <w:r w:rsidR="00711296">
        <w:t xml:space="preserve">les motifs conservés </w:t>
      </w:r>
      <w:r w:rsidR="0052388B">
        <w:t>(</w:t>
      </w:r>
      <w:r w:rsidR="0052388B" w:rsidRPr="00B9588F">
        <w:t>K</w:t>
      </w:r>
      <w:r w:rsidR="0052388B" w:rsidRPr="00B9588F">
        <w:rPr>
          <w:vertAlign w:val="superscript"/>
        </w:rPr>
        <w:t>56</w:t>
      </w:r>
      <w:r w:rsidR="0052388B" w:rsidRPr="00A85030">
        <w:t>-</w:t>
      </w:r>
      <w:r w:rsidR="0052388B">
        <w:t>X-</w:t>
      </w:r>
      <w:r w:rsidR="0052388B" w:rsidRPr="00B9588F">
        <w:t>R</w:t>
      </w:r>
      <w:r w:rsidR="0052388B" w:rsidRPr="00B9588F">
        <w:rPr>
          <w:vertAlign w:val="superscript"/>
        </w:rPr>
        <w:t>58</w:t>
      </w:r>
      <w:r w:rsidR="0052388B" w:rsidRPr="00B9588F">
        <w:t>/S</w:t>
      </w:r>
      <w:r w:rsidR="0052388B" w:rsidRPr="00B9588F">
        <w:rPr>
          <w:vertAlign w:val="superscript"/>
        </w:rPr>
        <w:t>143</w:t>
      </w:r>
      <w:r w:rsidR="0052388B" w:rsidRPr="00A85030">
        <w:t>-</w:t>
      </w:r>
      <w:r w:rsidR="0052388B">
        <w:t>X-</w:t>
      </w:r>
      <w:r w:rsidR="0052388B" w:rsidRPr="00B9588F">
        <w:t>N</w:t>
      </w:r>
      <w:r w:rsidR="0052388B" w:rsidRPr="00B9588F">
        <w:rPr>
          <w:vertAlign w:val="superscript"/>
        </w:rPr>
        <w:t>145</w:t>
      </w:r>
      <w:r w:rsidR="0052388B">
        <w:t xml:space="preserve">) dans les séquences que vous avez choisies </w:t>
      </w:r>
      <w:r>
        <w:t xml:space="preserve">et </w:t>
      </w:r>
      <w:r w:rsidR="00D61797">
        <w:t>soulignez-les</w:t>
      </w:r>
      <w:r w:rsidR="0052388B">
        <w:t xml:space="preserve"> en jaune. Pourquoi </w:t>
      </w:r>
      <w:r>
        <w:t>est-il</w:t>
      </w:r>
      <w:r w:rsidR="0052388B">
        <w:t xml:space="preserve"> important que les séquences que vous avez choisies comportent ces résidus conservés ? </w:t>
      </w:r>
      <w:r w:rsidR="00D61797">
        <w:t>Si besoin, r</w:t>
      </w:r>
      <w:r w:rsidR="006935D8">
        <w:t xml:space="preserve">apportez-vous au début du TD pour vous rappeler la fonction de ces résidus. </w:t>
      </w:r>
    </w:p>
    <w:p w14:paraId="72DF261B" w14:textId="77777777" w:rsidR="003865BB" w:rsidRDefault="003865BB"/>
    <w:p w14:paraId="75C5C4A7" w14:textId="30457FC2" w:rsidR="008B6EF6" w:rsidRDefault="00B43686">
      <w:r>
        <w:t>1</w:t>
      </w:r>
      <w:r w:rsidR="0080180E">
        <w:t>2</w:t>
      </w:r>
      <w:r>
        <w:t xml:space="preserve">. </w:t>
      </w:r>
      <w:r w:rsidR="00B575F1">
        <w:t xml:space="preserve">Avant de procéder à la construction d’un arbre phylogénétique vous allez utiliser un programme </w:t>
      </w:r>
      <w:r w:rsidR="00D27A11">
        <w:t xml:space="preserve">nommé </w:t>
      </w:r>
      <w:proofErr w:type="spellStart"/>
      <w:r w:rsidR="00B575F1">
        <w:t>GBlocks</w:t>
      </w:r>
      <w:proofErr w:type="spellEnd"/>
      <w:r w:rsidR="00B575F1">
        <w:t xml:space="preserve"> pour choisir les résidus qui seront utilisés. </w:t>
      </w:r>
      <w:r w:rsidR="00F7521C">
        <w:t>Expliquez p</w:t>
      </w:r>
      <w:r w:rsidR="00B575F1">
        <w:t>ourquoi</w:t>
      </w:r>
      <w:r w:rsidR="00F7521C">
        <w:t xml:space="preserve">. </w:t>
      </w:r>
    </w:p>
    <w:p w14:paraId="52FFCD35" w14:textId="77777777" w:rsidR="00061F4E" w:rsidRDefault="00061F4E"/>
    <w:p w14:paraId="3A703F86" w14:textId="1819C366" w:rsidR="00D74C04" w:rsidRDefault="00B43686">
      <w:r>
        <w:t>1</w:t>
      </w:r>
      <w:r w:rsidR="0080180E">
        <w:t>3</w:t>
      </w:r>
      <w:r>
        <w:t xml:space="preserve">. </w:t>
      </w:r>
      <w:r w:rsidR="00D74C04">
        <w:t xml:space="preserve">Allez sur </w:t>
      </w:r>
      <w:proofErr w:type="spellStart"/>
      <w:r w:rsidR="00D74C04">
        <w:t>Gblocks</w:t>
      </w:r>
      <w:proofErr w:type="spellEnd"/>
      <w:r w:rsidR="00D74C04">
        <w:t xml:space="preserve"> </w:t>
      </w:r>
      <w:r w:rsidR="00D61797">
        <w:t>(</w:t>
      </w:r>
      <w:r w:rsidR="00D61797" w:rsidRPr="00D61797">
        <w:rPr>
          <w:b/>
        </w:rPr>
        <w:t>http://www.phylogeny.fr/one_task.cgi?task_type=gblocks</w:t>
      </w:r>
      <w:r w:rsidR="00D61797">
        <w:t>)</w:t>
      </w:r>
      <w:r w:rsidR="00D61797" w:rsidRPr="00D61797">
        <w:t xml:space="preserve"> </w:t>
      </w:r>
      <w:r w:rsidR="00D74C04">
        <w:t xml:space="preserve">et </w:t>
      </w:r>
      <w:r w:rsidR="00D61797">
        <w:t>lancez-le</w:t>
      </w:r>
      <w:r w:rsidR="00CF7DCD">
        <w:t xml:space="preserve"> pour votre alignement </w:t>
      </w:r>
      <w:r w:rsidR="00F91EAA">
        <w:t>(« </w:t>
      </w:r>
      <w:r w:rsidR="00F91EAA" w:rsidRPr="00960A95">
        <w:t>clustalo-PaSua5_Archaea</w:t>
      </w:r>
      <w:r w:rsidR="00F91EAA">
        <w:t xml:space="preserve"> ») </w:t>
      </w:r>
      <w:r w:rsidR="00CF7DCD">
        <w:t>avec les paramètres par défaut</w:t>
      </w:r>
      <w:r w:rsidR="0051488C">
        <w:t xml:space="preserve"> (ne cocher aucune case)</w:t>
      </w:r>
      <w:r w:rsidR="00CF7DCD">
        <w:t>. Copiez-collez ci-dessous le résumé de l’analyse</w:t>
      </w:r>
      <w:r w:rsidR="004931F1">
        <w:t xml:space="preserve"> (en bas de la fenêtre jaune)</w:t>
      </w:r>
      <w:r w:rsidR="00CF7DCD">
        <w:t>. Dans un nouve</w:t>
      </w:r>
      <w:r w:rsidR="008A1EDE">
        <w:t>l</w:t>
      </w:r>
      <w:r w:rsidR="00CF7DCD">
        <w:t xml:space="preserve"> onglet faites l’analyse </w:t>
      </w:r>
      <w:proofErr w:type="spellStart"/>
      <w:r w:rsidR="00CF7DCD">
        <w:t>Gblocks</w:t>
      </w:r>
      <w:proofErr w:type="spellEnd"/>
      <w:r w:rsidR="00CF7DCD">
        <w:t xml:space="preserve"> de nouveau en utilisant les paramètres </w:t>
      </w:r>
      <w:r w:rsidR="00F7521C">
        <w:t xml:space="preserve">les </w:t>
      </w:r>
      <w:r w:rsidR="009E018A">
        <w:t>moins strict</w:t>
      </w:r>
      <w:r w:rsidR="008A1EDE">
        <w:t>s</w:t>
      </w:r>
      <w:r w:rsidR="009E018A">
        <w:t xml:space="preserve"> pour la sélection des blocks de séquences</w:t>
      </w:r>
      <w:r w:rsidR="0051488C">
        <w:t xml:space="preserve"> (cocher les 3 options dans le menu « </w:t>
      </w:r>
      <w:proofErr w:type="spellStart"/>
      <w:r w:rsidR="0051488C">
        <w:t>less</w:t>
      </w:r>
      <w:proofErr w:type="spellEnd"/>
      <w:r w:rsidR="0051488C">
        <w:t xml:space="preserve"> </w:t>
      </w:r>
      <w:proofErr w:type="spellStart"/>
      <w:r w:rsidR="0051488C">
        <w:t>stringent</w:t>
      </w:r>
      <w:proofErr w:type="spellEnd"/>
      <w:r w:rsidR="0051488C">
        <w:t> »)</w:t>
      </w:r>
      <w:r w:rsidR="009E018A">
        <w:t xml:space="preserve">. Comparez les deux résultats. </w:t>
      </w:r>
      <w:r w:rsidR="00B80A63">
        <w:t xml:space="preserve">Si vous </w:t>
      </w:r>
      <w:r w:rsidR="008A1EDE">
        <w:t>deviez</w:t>
      </w:r>
      <w:r w:rsidR="00B80A63">
        <w:t xml:space="preserve"> choisir l’une de deux possibilité</w:t>
      </w:r>
      <w:r w:rsidR="008A1EDE">
        <w:t>s</w:t>
      </w:r>
      <w:r w:rsidR="00B80A63">
        <w:t xml:space="preserve"> laquelle choisiriez-vous et pourquoi ? </w:t>
      </w:r>
      <w:r w:rsidR="00C91F49">
        <w:t>Sauvegardez</w:t>
      </w:r>
      <w:r w:rsidR="00881D78">
        <w:t xml:space="preserve"> (clique droit </w:t>
      </w:r>
      <w:r w:rsidR="00881D78">
        <w:sym w:font="Wingdings" w:char="F0E0"/>
      </w:r>
      <w:r w:rsidR="00881D78">
        <w:t xml:space="preserve"> enregistrez la cible de lien sous…) les </w:t>
      </w:r>
      <w:r w:rsidR="00C91F49">
        <w:t xml:space="preserve">deux fichiers </w:t>
      </w:r>
      <w:r w:rsidR="00C91F49" w:rsidRPr="004931F1">
        <w:rPr>
          <w:b/>
        </w:rPr>
        <w:t>sous format FASTA</w:t>
      </w:r>
      <w:r w:rsidR="00C91F49">
        <w:t xml:space="preserve"> sur votre bureau. Nommez les </w:t>
      </w:r>
      <w:r w:rsidR="00C91F49" w:rsidRPr="00C91F49">
        <w:t>GBlock_Sua5_Archaea_</w:t>
      </w:r>
      <w:proofErr w:type="gramStart"/>
      <w:r w:rsidR="00C91F49" w:rsidRPr="00C91F49">
        <w:t>default</w:t>
      </w:r>
      <w:r w:rsidR="00C91F49">
        <w:t>.fasta</w:t>
      </w:r>
      <w:proofErr w:type="gramEnd"/>
      <w:r w:rsidR="00C91F49">
        <w:t xml:space="preserve"> et </w:t>
      </w:r>
      <w:r w:rsidR="00C91F49" w:rsidRPr="00C91F49">
        <w:t>GBlock_Sua5_Archaea_moins</w:t>
      </w:r>
      <w:r w:rsidR="00F7521C">
        <w:t>_</w:t>
      </w:r>
      <w:r w:rsidR="00C91F49" w:rsidRPr="00C91F49">
        <w:t>strict</w:t>
      </w:r>
      <w:r w:rsidR="00C91F49">
        <w:t xml:space="preserve">.fasta </w:t>
      </w:r>
    </w:p>
    <w:p w14:paraId="7F41C647" w14:textId="0B111664" w:rsidR="00CF7DCD" w:rsidRDefault="00CF7DCD"/>
    <w:p w14:paraId="4B6CF711" w14:textId="7604F101" w:rsidR="009E018A" w:rsidRDefault="00B43686">
      <w:r>
        <w:t>1</w:t>
      </w:r>
      <w:r w:rsidR="0080180E">
        <w:t>4</w:t>
      </w:r>
      <w:r>
        <w:t xml:space="preserve">. </w:t>
      </w:r>
      <w:r w:rsidR="008A1EDE">
        <w:t xml:space="preserve">Vous allez maintenant construire un arbre phylogénétique en utilisant le logiciel </w:t>
      </w:r>
      <w:proofErr w:type="spellStart"/>
      <w:r w:rsidR="008A1EDE">
        <w:t>IQTree</w:t>
      </w:r>
      <w:proofErr w:type="spellEnd"/>
      <w:r w:rsidR="008A1EDE">
        <w:t xml:space="preserve"> disponible sur </w:t>
      </w:r>
      <w:r w:rsidR="00764795" w:rsidRPr="004931F1">
        <w:rPr>
          <w:b/>
        </w:rPr>
        <w:t>https://www.hiv.lanl.gov/content/sequence/IQTREE/iqtree.html</w:t>
      </w:r>
      <w:r w:rsidR="008A1EDE">
        <w:t xml:space="preserve"> </w:t>
      </w:r>
      <w:r w:rsidR="00FF4902">
        <w:t xml:space="preserve">Ce logiciel utilise le maximum de vraisemblance pour </w:t>
      </w:r>
      <w:r w:rsidR="00A0698A">
        <w:t xml:space="preserve">la construction d’arbres phylogénétiques. En quoi consiste cette approche ? </w:t>
      </w:r>
    </w:p>
    <w:p w14:paraId="1E326E3F" w14:textId="77777777" w:rsidR="009B0A68" w:rsidRDefault="009B0A68"/>
    <w:p w14:paraId="0FBC1BA4" w14:textId="719DA70B" w:rsidR="00126CF6" w:rsidRDefault="00FF4FC2">
      <w:r>
        <w:t>1</w:t>
      </w:r>
      <w:r w:rsidR="0080180E">
        <w:t>5</w:t>
      </w:r>
      <w:r w:rsidR="00471219">
        <w:t xml:space="preserve">. </w:t>
      </w:r>
      <w:r w:rsidR="00881D78">
        <w:t xml:space="preserve">Revenons maintenant sur </w:t>
      </w:r>
      <w:r w:rsidR="00612297">
        <w:t>votre</w:t>
      </w:r>
      <w:r w:rsidR="00881D78">
        <w:t xml:space="preserve"> analyse phylogénétique : utilisez </w:t>
      </w:r>
      <w:proofErr w:type="spellStart"/>
      <w:r w:rsidR="00881D78">
        <w:t>IQtree</w:t>
      </w:r>
      <w:proofErr w:type="spellEnd"/>
      <w:r w:rsidR="00881D78">
        <w:t xml:space="preserve"> pour obtenir l’arbre phylogénétique de vos séquences </w:t>
      </w:r>
      <w:r w:rsidR="00421239">
        <w:t xml:space="preserve">pour </w:t>
      </w:r>
      <w:r w:rsidR="00881D78">
        <w:t xml:space="preserve">les </w:t>
      </w:r>
      <w:r w:rsidR="00612297">
        <w:t xml:space="preserve">deux fichiers </w:t>
      </w:r>
      <w:proofErr w:type="spellStart"/>
      <w:r w:rsidR="00612297">
        <w:t>fasta</w:t>
      </w:r>
      <w:proofErr w:type="spellEnd"/>
      <w:r w:rsidR="00612297">
        <w:t xml:space="preserve"> que vous avez enregistré</w:t>
      </w:r>
      <w:r w:rsidR="00A75D65">
        <w:t>s</w:t>
      </w:r>
      <w:r w:rsidR="00612297">
        <w:t xml:space="preserve"> </w:t>
      </w:r>
      <w:r w:rsidR="00612297">
        <w:lastRenderedPageBreak/>
        <w:t>(</w:t>
      </w:r>
      <w:r w:rsidR="00612297" w:rsidRPr="00C91F49">
        <w:t>GBlock_Sua5_Archaea_</w:t>
      </w:r>
      <w:proofErr w:type="gramStart"/>
      <w:r w:rsidR="00612297" w:rsidRPr="00C91F49">
        <w:t>default</w:t>
      </w:r>
      <w:r w:rsidR="00612297">
        <w:t>.fasta</w:t>
      </w:r>
      <w:proofErr w:type="gramEnd"/>
      <w:r w:rsidR="00612297">
        <w:t xml:space="preserve"> et </w:t>
      </w:r>
      <w:r w:rsidR="00612297" w:rsidRPr="00C91F49">
        <w:t xml:space="preserve">GBlock_Sua5_Archaea_moins </w:t>
      </w:r>
      <w:proofErr w:type="spellStart"/>
      <w:r w:rsidR="00612297" w:rsidRPr="00C91F49">
        <w:t>strict</w:t>
      </w:r>
      <w:r w:rsidR="00612297">
        <w:t>.fasta</w:t>
      </w:r>
      <w:proofErr w:type="spellEnd"/>
      <w:r w:rsidR="00612297">
        <w:t xml:space="preserve">). </w:t>
      </w:r>
      <w:r w:rsidR="00764795">
        <w:t>Dans les options, substitution model, choisissez « </w:t>
      </w:r>
      <w:proofErr w:type="spellStart"/>
      <w:r w:rsidR="00764795">
        <w:t>Find</w:t>
      </w:r>
      <w:proofErr w:type="spellEnd"/>
      <w:r w:rsidR="00764795">
        <w:t xml:space="preserve"> best and </w:t>
      </w:r>
      <w:proofErr w:type="spellStart"/>
      <w:r w:rsidR="00764795">
        <w:t>apply</w:t>
      </w:r>
      <w:proofErr w:type="spellEnd"/>
      <w:r w:rsidR="00764795">
        <w:t xml:space="preserve"> », cela signifie que l’algorithme cherchera le meilleur modèle évolutif pour votre alignement et l’appliquera pour la construction de l’arbre. Choisissez ensuite </w:t>
      </w:r>
      <w:r w:rsidR="00E207D5">
        <w:t>100</w:t>
      </w:r>
      <w:r w:rsidR="006D15D4">
        <w:t>0</w:t>
      </w:r>
      <w:r w:rsidR="00E207D5">
        <w:t xml:space="preserve"> réplicas de </w:t>
      </w:r>
      <w:proofErr w:type="spellStart"/>
      <w:r w:rsidR="006D15D4">
        <w:t>ultrafast</w:t>
      </w:r>
      <w:proofErr w:type="spellEnd"/>
      <w:r w:rsidR="006D15D4">
        <w:t xml:space="preserve"> </w:t>
      </w:r>
      <w:proofErr w:type="spellStart"/>
      <w:r w:rsidR="00E207D5">
        <w:t>bootstrap</w:t>
      </w:r>
      <w:proofErr w:type="spellEnd"/>
      <w:r w:rsidR="00E207D5">
        <w:t xml:space="preserve">. </w:t>
      </w:r>
      <w:r w:rsidR="00421239">
        <w:t>Lancez les deux analyses en parallèle dans deux ongle</w:t>
      </w:r>
      <w:r w:rsidR="006D7925">
        <w:t>t</w:t>
      </w:r>
      <w:r w:rsidR="00421239">
        <w:t xml:space="preserve">s différents. </w:t>
      </w:r>
      <w:r w:rsidR="006D15D4">
        <w:t xml:space="preserve">Vous recevrez un e-mail lorsque les résultats seront disponibles. </w:t>
      </w:r>
    </w:p>
    <w:p w14:paraId="3E7D1142" w14:textId="77777777" w:rsidR="00421239" w:rsidRDefault="00421239">
      <w:r>
        <w:t>Pend</w:t>
      </w:r>
      <w:r w:rsidR="00980FD2">
        <w:t>a</w:t>
      </w:r>
      <w:r>
        <w:t xml:space="preserve">nt que le programme </w:t>
      </w:r>
      <w:r w:rsidR="00980FD2">
        <w:t>s’exécute</w:t>
      </w:r>
      <w:r>
        <w:t xml:space="preserve"> répondez </w:t>
      </w:r>
      <w:r w:rsidR="00980FD2">
        <w:t xml:space="preserve">aux </w:t>
      </w:r>
      <w:r>
        <w:t xml:space="preserve">questions suivantes : </w:t>
      </w:r>
    </w:p>
    <w:p w14:paraId="5F0BF108" w14:textId="49F93312" w:rsidR="00421239" w:rsidRDefault="00FF4FC2">
      <w:r>
        <w:t>1</w:t>
      </w:r>
      <w:r w:rsidR="0080180E">
        <w:t>6</w:t>
      </w:r>
      <w:r w:rsidR="00471219">
        <w:t xml:space="preserve">. </w:t>
      </w:r>
      <w:r w:rsidR="00421239">
        <w:t>Qu’est</w:t>
      </w:r>
      <w:r w:rsidR="00F66AE7">
        <w:t>-</w:t>
      </w:r>
      <w:r w:rsidR="00421239">
        <w:t>ce qu</w:t>
      </w:r>
      <w:r w:rsidR="00980FD2">
        <w:t>’</w:t>
      </w:r>
      <w:r w:rsidR="00421239">
        <w:t xml:space="preserve">un </w:t>
      </w:r>
      <w:proofErr w:type="spellStart"/>
      <w:r w:rsidR="00421239">
        <w:t>bootstrap</w:t>
      </w:r>
      <w:proofErr w:type="spellEnd"/>
      <w:r w:rsidR="00421239">
        <w:t xml:space="preserve"> et à quoi </w:t>
      </w:r>
      <w:r w:rsidR="00980FD2">
        <w:t>sert -</w:t>
      </w:r>
      <w:proofErr w:type="gramStart"/>
      <w:r w:rsidR="00421239">
        <w:t>il?</w:t>
      </w:r>
      <w:proofErr w:type="gramEnd"/>
      <w:r w:rsidR="00421239">
        <w:t xml:space="preserve"> </w:t>
      </w:r>
    </w:p>
    <w:p w14:paraId="4A4F8CE5" w14:textId="77777777" w:rsidR="00421239" w:rsidRDefault="00421239"/>
    <w:p w14:paraId="68DD1A82" w14:textId="5ACAE28E" w:rsidR="00421239" w:rsidRDefault="00FF4FC2">
      <w:r>
        <w:t>1</w:t>
      </w:r>
      <w:r w:rsidR="0080180E">
        <w:t>7</w:t>
      </w:r>
      <w:r w:rsidR="00471219">
        <w:t xml:space="preserve">. </w:t>
      </w:r>
      <w:r>
        <w:t>Quelle est la définition d’un clade selon la phylogénie moléculaire ?</w:t>
      </w:r>
    </w:p>
    <w:p w14:paraId="400B85BA" w14:textId="77777777" w:rsidR="00421239" w:rsidRDefault="00421239"/>
    <w:p w14:paraId="1516137B" w14:textId="3A96B35A" w:rsidR="00421239" w:rsidRDefault="00FF4FC2">
      <w:r>
        <w:t>1</w:t>
      </w:r>
      <w:r w:rsidR="0080180E">
        <w:t>8</w:t>
      </w:r>
      <w:r w:rsidR="00471219">
        <w:t xml:space="preserve">. </w:t>
      </w:r>
      <w:r w:rsidR="00A212FE">
        <w:t xml:space="preserve">Copiez-collez les arbres obtenus sous format graphique et sous format </w:t>
      </w:r>
      <w:proofErr w:type="spellStart"/>
      <w:r w:rsidR="00A212FE">
        <w:t>Newick</w:t>
      </w:r>
      <w:proofErr w:type="spellEnd"/>
      <w:r w:rsidR="00A212FE">
        <w:t xml:space="preserve"> pour</w:t>
      </w:r>
      <w:r w:rsidR="00FE5996">
        <w:t xml:space="preserve"> vo</w:t>
      </w:r>
      <w:r w:rsidR="00980FD2">
        <w:t>s</w:t>
      </w:r>
      <w:r w:rsidR="00FE5996">
        <w:t xml:space="preserve"> deux analyses IQ-</w:t>
      </w:r>
      <w:proofErr w:type="spellStart"/>
      <w:r w:rsidR="00FE5996">
        <w:t>Tree</w:t>
      </w:r>
      <w:proofErr w:type="spellEnd"/>
      <w:r w:rsidR="00FE5996">
        <w:t xml:space="preserve"> (en </w:t>
      </w:r>
      <w:r w:rsidR="0059307B">
        <w:t>les identifiant</w:t>
      </w:r>
      <w:r w:rsidR="00FE5996">
        <w:t xml:space="preserve">) et répondez aux questions suivantes : </w:t>
      </w:r>
    </w:p>
    <w:p w14:paraId="1A714B17" w14:textId="4AFE856D" w:rsidR="00FE5996" w:rsidRPr="00471219" w:rsidRDefault="00FE5996">
      <w:pPr>
        <w:rPr>
          <w:color w:val="FF0000"/>
        </w:rPr>
      </w:pPr>
    </w:p>
    <w:p w14:paraId="25366779" w14:textId="6CE195A7" w:rsidR="00FE5996" w:rsidRDefault="0080180E">
      <w:r>
        <w:t>19</w:t>
      </w:r>
      <w:r w:rsidR="00471219">
        <w:t xml:space="preserve">. </w:t>
      </w:r>
      <w:r w:rsidR="00FE5996">
        <w:t>Les deux arbres sont-il</w:t>
      </w:r>
      <w:r w:rsidR="00056374">
        <w:t>s</w:t>
      </w:r>
      <w:r w:rsidR="00FE5996">
        <w:t xml:space="preserve"> comparables ? </w:t>
      </w:r>
      <w:r w:rsidR="00675682">
        <w:t xml:space="preserve">Justifiez. </w:t>
      </w:r>
      <w:r w:rsidR="00FE5996">
        <w:t xml:space="preserve">Comment expliquez-vous cela ? </w:t>
      </w:r>
    </w:p>
    <w:p w14:paraId="45853EEA" w14:textId="77777777" w:rsidR="00FE5996" w:rsidRDefault="00FE5996"/>
    <w:p w14:paraId="23CB8335" w14:textId="4C5E11A9" w:rsidR="00FE5996" w:rsidRDefault="00471219">
      <w:r>
        <w:t>2</w:t>
      </w:r>
      <w:r w:rsidR="0080180E">
        <w:t>0</w:t>
      </w:r>
      <w:r>
        <w:t xml:space="preserve">. </w:t>
      </w:r>
      <w:r w:rsidR="007F5EB2">
        <w:t>Pouvez-vous orienter dans le temps les arbres que vous avez obtenus</w:t>
      </w:r>
      <w:r w:rsidR="007C54EE">
        <w:t xml:space="preserve"> </w:t>
      </w:r>
      <w:r w:rsidR="007F5EB2">
        <w:t>(c’est-à-dire identifier le nœud le plus ancien)</w:t>
      </w:r>
      <w:r w:rsidR="007C54EE">
        <w:t xml:space="preserve"> </w:t>
      </w:r>
      <w:r w:rsidR="007F5EB2">
        <w:t xml:space="preserve">? Justifiez. </w:t>
      </w:r>
    </w:p>
    <w:p w14:paraId="1B2AB378" w14:textId="77777777" w:rsidR="00126CF6" w:rsidRPr="00126CF6" w:rsidRDefault="00126CF6"/>
    <w:p w14:paraId="5033B984" w14:textId="39E52327" w:rsidR="00126CF6" w:rsidRDefault="00471219">
      <w:r>
        <w:t>2</w:t>
      </w:r>
      <w:r w:rsidR="0080180E">
        <w:t>1</w:t>
      </w:r>
      <w:r>
        <w:t xml:space="preserve">. </w:t>
      </w:r>
      <w:r w:rsidR="007C54EE">
        <w:t xml:space="preserve">Pour enraciner cet arbre </w:t>
      </w:r>
      <w:r w:rsidR="00056374">
        <w:t>que</w:t>
      </w:r>
      <w:r w:rsidR="007C54EE">
        <w:t xml:space="preserve"> faudrait</w:t>
      </w:r>
      <w:r w:rsidR="00056374">
        <w:t>-il</w:t>
      </w:r>
      <w:r w:rsidR="007C54EE">
        <w:t xml:space="preserve"> faire ? </w:t>
      </w:r>
    </w:p>
    <w:p w14:paraId="7DEED1F9" w14:textId="77777777" w:rsidR="00126CF6" w:rsidRDefault="00126CF6"/>
    <w:p w14:paraId="4DFA435A" w14:textId="7079CC22" w:rsidR="00912876" w:rsidRDefault="00471219">
      <w:r>
        <w:t>2</w:t>
      </w:r>
      <w:r w:rsidR="0080180E">
        <w:t>2</w:t>
      </w:r>
      <w:r>
        <w:t xml:space="preserve">. </w:t>
      </w:r>
      <w:r w:rsidR="00912876">
        <w:t>L’attraction de</w:t>
      </w:r>
      <w:r w:rsidR="00056374">
        <w:t>s</w:t>
      </w:r>
      <w:r w:rsidR="00912876">
        <w:t xml:space="preserve"> longues branches est l’un des artéfacts le plus connus de la reconstruction phylogénétique. A </w:t>
      </w:r>
      <w:r w:rsidR="00056374">
        <w:t xml:space="preserve">quoi </w:t>
      </w:r>
      <w:r w:rsidR="00912876">
        <w:t xml:space="preserve">correspond cet artéfact ? </w:t>
      </w:r>
      <w:r w:rsidR="0097025B">
        <w:t>Aidez-vous</w:t>
      </w:r>
      <w:r w:rsidR="00912876">
        <w:t xml:space="preserve"> du schéma ci-dessous pour </w:t>
      </w:r>
      <w:r w:rsidR="002C7994">
        <w:t>répondre</w:t>
      </w:r>
      <w:r w:rsidR="00912876">
        <w:t xml:space="preserve"> à la question. </w:t>
      </w:r>
    </w:p>
    <w:p w14:paraId="14F6C451" w14:textId="77777777" w:rsidR="00912876" w:rsidRPr="00126CF6" w:rsidRDefault="00912876">
      <w:r>
        <w:rPr>
          <w:noProof/>
          <w:lang w:eastAsia="fr-FR"/>
        </w:rPr>
        <w:drawing>
          <wp:inline distT="0" distB="0" distL="0" distR="0" wp14:anchorId="61D06DFA" wp14:editId="1417FECB">
            <wp:extent cx="5225716" cy="1805844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340" cy="180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B135" w14:textId="77777777" w:rsidR="00126CF6" w:rsidRPr="00126CF6" w:rsidRDefault="00126CF6"/>
    <w:p w14:paraId="551BE4EA" w14:textId="0E8228EC" w:rsidR="00126CF6" w:rsidRDefault="00471219">
      <w:r>
        <w:t>2</w:t>
      </w:r>
      <w:r w:rsidR="0080180E">
        <w:t>3</w:t>
      </w:r>
      <w:r>
        <w:t xml:space="preserve">. </w:t>
      </w:r>
      <w:r w:rsidR="007471BF">
        <w:t xml:space="preserve">Pour enraciner votre arbre en limitant </w:t>
      </w:r>
      <w:r w:rsidR="00083123">
        <w:t>l’artefact d’attraction de longues branches</w:t>
      </w:r>
      <w:r w:rsidR="007471BF">
        <w:t xml:space="preserve">, choisiriez-vous une Sua5 eucaryote ou bactérienne ? </w:t>
      </w:r>
      <w:r w:rsidR="00083123">
        <w:t xml:space="preserve">Détaillez votre raisonnement en s’appuyant sur </w:t>
      </w:r>
      <w:r w:rsidR="007471BF">
        <w:t>l’arbre</w:t>
      </w:r>
      <w:r w:rsidR="00083123">
        <w:t xml:space="preserve"> universel</w:t>
      </w:r>
      <w:r w:rsidR="007471BF">
        <w:t xml:space="preserve"> classique à trois domaines de Carl Woese</w:t>
      </w:r>
      <w:r w:rsidR="00083123">
        <w:t>.</w:t>
      </w:r>
    </w:p>
    <w:p w14:paraId="22B8AC66" w14:textId="77777777" w:rsidR="00083123" w:rsidRDefault="00083123"/>
    <w:p w14:paraId="21BA7995" w14:textId="7149241B" w:rsidR="00C05754" w:rsidRDefault="00E77470">
      <w:r>
        <w:lastRenderedPageBreak/>
        <w:t>2</w:t>
      </w:r>
      <w:r w:rsidR="0080180E">
        <w:t>4</w:t>
      </w:r>
      <w:r w:rsidR="00471219">
        <w:t xml:space="preserve">. </w:t>
      </w:r>
      <w:r w:rsidR="005A48F5">
        <w:t>Pour enraciner votre arbre vous avez r</w:t>
      </w:r>
      <w:r w:rsidR="00C05754">
        <w:t xml:space="preserve">efait une </w:t>
      </w:r>
      <w:r w:rsidR="005A48F5">
        <w:t xml:space="preserve">nouvelle </w:t>
      </w:r>
      <w:r w:rsidR="00C05754">
        <w:t xml:space="preserve">recherche BLAST en utilisant la séquence de Sua5 de </w:t>
      </w:r>
      <w:r w:rsidR="00C05754" w:rsidRPr="00C05754">
        <w:rPr>
          <w:i/>
        </w:rPr>
        <w:t xml:space="preserve">P. </w:t>
      </w:r>
      <w:proofErr w:type="spellStart"/>
      <w:r w:rsidR="00C05754" w:rsidRPr="00C05754">
        <w:rPr>
          <w:i/>
        </w:rPr>
        <w:t>abyssi</w:t>
      </w:r>
      <w:proofErr w:type="spellEnd"/>
      <w:r w:rsidR="00C05754">
        <w:t xml:space="preserve"> en cherchant uniquement chez les Eucaryotes. </w:t>
      </w:r>
      <w:r w:rsidR="005A48F5">
        <w:t xml:space="preserve">Voici la </w:t>
      </w:r>
      <w:r w:rsidR="00C05754">
        <w:t xml:space="preserve">séquence </w:t>
      </w:r>
      <w:r w:rsidR="005A48F5">
        <w:t xml:space="preserve">que vous avez choisi </w:t>
      </w:r>
      <w:r w:rsidR="00C05754">
        <w:t xml:space="preserve">: </w:t>
      </w:r>
    </w:p>
    <w:p w14:paraId="09D70945" w14:textId="77777777" w:rsidR="00B16AB5" w:rsidRPr="0051488C" w:rsidRDefault="00B16AB5" w:rsidP="00B16AB5">
      <w:pPr>
        <w:pStyle w:val="PrformatHTML"/>
      </w:pPr>
      <w:r w:rsidRPr="0051488C">
        <w:t>&gt;EZG56502.1 Sua5/</w:t>
      </w:r>
      <w:proofErr w:type="spellStart"/>
      <w:r w:rsidRPr="0051488C">
        <w:t>YciO</w:t>
      </w:r>
      <w:proofErr w:type="spellEnd"/>
      <w:r w:rsidRPr="0051488C">
        <w:t>/</w:t>
      </w:r>
      <w:proofErr w:type="spellStart"/>
      <w:r w:rsidRPr="0051488C">
        <w:t>YrdC</w:t>
      </w:r>
      <w:proofErr w:type="spellEnd"/>
      <w:r w:rsidRPr="0051488C">
        <w:t>/</w:t>
      </w:r>
      <w:proofErr w:type="spellStart"/>
      <w:r w:rsidRPr="0051488C">
        <w:t>YwlC</w:t>
      </w:r>
      <w:proofErr w:type="spellEnd"/>
      <w:r w:rsidRPr="0051488C">
        <w:t xml:space="preserve"> </w:t>
      </w:r>
      <w:proofErr w:type="spellStart"/>
      <w:r w:rsidRPr="0051488C">
        <w:t>family</w:t>
      </w:r>
      <w:proofErr w:type="spellEnd"/>
      <w:r w:rsidRPr="0051488C">
        <w:t xml:space="preserve"> </w:t>
      </w:r>
      <w:proofErr w:type="spellStart"/>
      <w:r w:rsidRPr="0051488C">
        <w:t>protein</w:t>
      </w:r>
      <w:proofErr w:type="spellEnd"/>
      <w:r w:rsidRPr="0051488C">
        <w:t xml:space="preserve"> [</w:t>
      </w:r>
      <w:proofErr w:type="spellStart"/>
      <w:r w:rsidRPr="0051488C">
        <w:t>Gregarina</w:t>
      </w:r>
      <w:proofErr w:type="spellEnd"/>
      <w:r w:rsidRPr="0051488C">
        <w:t xml:space="preserve"> </w:t>
      </w:r>
      <w:proofErr w:type="spellStart"/>
      <w:r w:rsidRPr="0051488C">
        <w:t>niphandrodes</w:t>
      </w:r>
      <w:proofErr w:type="spellEnd"/>
      <w:r w:rsidRPr="0051488C">
        <w:t>]</w:t>
      </w:r>
    </w:p>
    <w:p w14:paraId="198B6221" w14:textId="77777777" w:rsidR="00B16AB5" w:rsidRPr="0051488C" w:rsidRDefault="00B16AB5" w:rsidP="00B16AB5">
      <w:pPr>
        <w:pStyle w:val="PrformatHTML"/>
      </w:pPr>
      <w:r w:rsidRPr="0051488C">
        <w:t>MERFRVEMEDDAPAVYEEAGRRIREGKLVAFPTETVYGLGGNGLDVEAVKSIYEMKRRPADDPVILHVID</w:t>
      </w:r>
    </w:p>
    <w:p w14:paraId="13403919" w14:textId="77777777" w:rsidR="00B16AB5" w:rsidRPr="0051488C" w:rsidRDefault="00B16AB5" w:rsidP="00B16AB5">
      <w:pPr>
        <w:pStyle w:val="PrformatHTML"/>
      </w:pPr>
      <w:r w:rsidRPr="0051488C">
        <w:t>FQDAVELWDLALPLRRVIAGLQEAFWPGPLTIVAKANSQVPSEVTAGTGKVAVRCPAHPVARRLIAAARV</w:t>
      </w:r>
    </w:p>
    <w:p w14:paraId="21DB34E6" w14:textId="77777777" w:rsidR="00B16AB5" w:rsidRPr="0051488C" w:rsidRDefault="00B16AB5" w:rsidP="00B16AB5">
      <w:pPr>
        <w:pStyle w:val="PrformatHTML"/>
      </w:pPr>
      <w:r w:rsidRPr="0051488C">
        <w:t>PIAAPSANLFSRISPTRADHVAKYFVNEDLMLIDCDSDACTIGIESVVISVEEDSIHILRPGAISRDQLQ</w:t>
      </w:r>
    </w:p>
    <w:p w14:paraId="71891399" w14:textId="77777777" w:rsidR="00B16AB5" w:rsidRPr="0051488C" w:rsidRDefault="00B16AB5" w:rsidP="00B16AB5">
      <w:pPr>
        <w:pStyle w:val="PrformatHTML"/>
      </w:pPr>
      <w:r w:rsidRPr="0051488C">
        <w:t>QAAPGIPVHDKIIPIEPSAPKDAVVAAECDFASSSPGQCLVHYSPSIPTCLIILNDAEKGLIDTEAGCEE</w:t>
      </w:r>
    </w:p>
    <w:p w14:paraId="32C1CFB1" w14:textId="77777777" w:rsidR="00B16AB5" w:rsidRPr="0051488C" w:rsidRDefault="00B16AB5" w:rsidP="00B16AB5">
      <w:pPr>
        <w:pStyle w:val="PrformatHTML"/>
      </w:pPr>
      <w:r w:rsidRPr="0051488C">
        <w:t>RETLHYDSADLERLLPLPLSRSAVIDLSANRFGFLKSSCLYWKCLCDATHDLFATFHEIEDMKVPERLYI</w:t>
      </w:r>
    </w:p>
    <w:p w14:paraId="50497D8F" w14:textId="77777777" w:rsidR="00B16AB5" w:rsidRPr="0051488C" w:rsidRDefault="00B16AB5" w:rsidP="00B16AB5">
      <w:pPr>
        <w:pStyle w:val="PrformatHTML"/>
      </w:pPr>
      <w:r w:rsidRPr="0051488C">
        <w:t>CTTMNDCHTNQGVLDRCIRAAAHHVIHWSPANKRAVSQ</w:t>
      </w:r>
    </w:p>
    <w:p w14:paraId="2E62C2FF" w14:textId="083F9498" w:rsidR="00C05754" w:rsidRDefault="00C05754"/>
    <w:p w14:paraId="1DDF87A2" w14:textId="45025088" w:rsidR="00C05754" w:rsidRDefault="00F10119">
      <w:r>
        <w:t>2</w:t>
      </w:r>
      <w:r w:rsidR="0080180E">
        <w:t>5</w:t>
      </w:r>
      <w:r w:rsidR="00471219">
        <w:t xml:space="preserve">. </w:t>
      </w:r>
      <w:r w:rsidR="00816A07">
        <w:t>Effectuez de nouveau</w:t>
      </w:r>
      <w:r w:rsidR="00C05754">
        <w:t xml:space="preserve"> un alignement de vos séquences d’Archées </w:t>
      </w:r>
      <w:r w:rsidR="00816A07">
        <w:t xml:space="preserve">y compris celle de </w:t>
      </w:r>
      <w:r w:rsidR="00816A07" w:rsidRPr="00816A07">
        <w:rPr>
          <w:i/>
        </w:rPr>
        <w:t xml:space="preserve">P. </w:t>
      </w:r>
      <w:proofErr w:type="spellStart"/>
      <w:r w:rsidR="00816A07" w:rsidRPr="00816A07">
        <w:rPr>
          <w:i/>
        </w:rPr>
        <w:t>abyssi</w:t>
      </w:r>
      <w:proofErr w:type="spellEnd"/>
      <w:r w:rsidR="00816A07">
        <w:t xml:space="preserve"> en incluant la séquence eucaryote</w:t>
      </w:r>
      <w:r w:rsidR="006D15D4">
        <w:t>. Vous trouverez les 6 séquences dans l’annexe de ce document. F</w:t>
      </w:r>
      <w:r w:rsidR="00816A07">
        <w:t xml:space="preserve">aites </w:t>
      </w:r>
      <w:r w:rsidR="006D15D4">
        <w:t xml:space="preserve">ensuite </w:t>
      </w:r>
      <w:r w:rsidR="00816A07">
        <w:t xml:space="preserve">un </w:t>
      </w:r>
      <w:proofErr w:type="spellStart"/>
      <w:r w:rsidR="00816A07">
        <w:t>GBlock</w:t>
      </w:r>
      <w:proofErr w:type="spellEnd"/>
      <w:r w:rsidR="00816A07">
        <w:t xml:space="preserve"> avec les paramètres </w:t>
      </w:r>
      <w:r w:rsidR="00056374">
        <w:t xml:space="preserve">les </w:t>
      </w:r>
      <w:r w:rsidR="00816A07">
        <w:t>moins stricts</w:t>
      </w:r>
      <w:r w:rsidR="00062D2E">
        <w:t xml:space="preserve"> (cocher les trois cases)</w:t>
      </w:r>
      <w:r w:rsidR="00816A07">
        <w:t xml:space="preserve"> et utilisez </w:t>
      </w:r>
      <w:proofErr w:type="spellStart"/>
      <w:r w:rsidR="00816A07">
        <w:t>IQTree</w:t>
      </w:r>
      <w:proofErr w:type="spellEnd"/>
      <w:r w:rsidR="00816A07">
        <w:t xml:space="preserve"> pour </w:t>
      </w:r>
      <w:r w:rsidR="00056374">
        <w:t>construire</w:t>
      </w:r>
      <w:r w:rsidR="00816A07">
        <w:t xml:space="preserve"> l’arbre. Comparer cet arbre avec les deux arbres précédents. </w:t>
      </w:r>
      <w:r w:rsidR="00056374">
        <w:t xml:space="preserve">En parallèle, </w:t>
      </w:r>
      <w:r w:rsidR="00CB4B16">
        <w:t>faites un calcul IQ-</w:t>
      </w:r>
      <w:proofErr w:type="spellStart"/>
      <w:r w:rsidR="00CB4B16">
        <w:t>Tree</w:t>
      </w:r>
      <w:proofErr w:type="spellEnd"/>
      <w:r w:rsidR="00CB4B16">
        <w:t xml:space="preserve"> en utilisant l’alignement </w:t>
      </w:r>
      <w:proofErr w:type="spellStart"/>
      <w:r w:rsidR="00CB4B16">
        <w:t>ClustalOmega</w:t>
      </w:r>
      <w:proofErr w:type="spellEnd"/>
      <w:r w:rsidR="00CB4B16">
        <w:t xml:space="preserve"> </w:t>
      </w:r>
      <w:r w:rsidR="00CB4B16" w:rsidRPr="00B4476B">
        <w:rPr>
          <w:u w:val="single"/>
        </w:rPr>
        <w:t xml:space="preserve">sans analyse </w:t>
      </w:r>
      <w:proofErr w:type="spellStart"/>
      <w:r w:rsidR="00CB4B16" w:rsidRPr="00B4476B">
        <w:rPr>
          <w:u w:val="single"/>
        </w:rPr>
        <w:t>GBlocks</w:t>
      </w:r>
      <w:proofErr w:type="spellEnd"/>
      <w:r w:rsidR="00CB4B16">
        <w:t xml:space="preserve">. Documentez et commentez toutes les étapes de votre analyse. </w:t>
      </w:r>
      <w:r w:rsidR="00A212FE">
        <w:t xml:space="preserve">N’oubliez pas de </w:t>
      </w:r>
      <w:r w:rsidR="00A212FE" w:rsidRPr="00B315FD">
        <w:rPr>
          <w:b/>
        </w:rPr>
        <w:t xml:space="preserve">conserver vos arbres sous format </w:t>
      </w:r>
      <w:proofErr w:type="spellStart"/>
      <w:r w:rsidR="00A212FE" w:rsidRPr="00B315FD">
        <w:rPr>
          <w:b/>
        </w:rPr>
        <w:t>Newick</w:t>
      </w:r>
      <w:proofErr w:type="spellEnd"/>
      <w:r w:rsidR="00A212FE">
        <w:t xml:space="preserve">, vous en aurez besoin pour la question suivante. </w:t>
      </w:r>
    </w:p>
    <w:p w14:paraId="4ED4B5FD" w14:textId="2032CC75" w:rsidR="00CB4B16" w:rsidRDefault="00CB4B16"/>
    <w:p w14:paraId="37ED21C5" w14:textId="662D868B" w:rsidR="00AD2F8F" w:rsidRDefault="0002313C">
      <w:r>
        <w:t>2</w:t>
      </w:r>
      <w:r w:rsidR="0080180E">
        <w:t>6</w:t>
      </w:r>
      <w:r w:rsidR="006B714C">
        <w:t xml:space="preserve">. </w:t>
      </w:r>
      <w:r w:rsidR="00CA22FD">
        <w:t>Vous allez</w:t>
      </w:r>
      <w:r w:rsidR="00100E33">
        <w:t xml:space="preserve"> maintenant éditer l’arbre </w:t>
      </w:r>
      <w:r w:rsidR="00137D72">
        <w:t xml:space="preserve">le plus robuste (contenant votre séquence </w:t>
      </w:r>
      <w:proofErr w:type="spellStart"/>
      <w:r w:rsidR="00137D72">
        <w:t>outgroup</w:t>
      </w:r>
      <w:proofErr w:type="spellEnd"/>
      <w:r w:rsidR="00137D72">
        <w:t xml:space="preserve">) </w:t>
      </w:r>
      <w:r w:rsidR="00100E33">
        <w:t xml:space="preserve">que vous avez obtenu grâce à l’interface </w:t>
      </w:r>
      <w:proofErr w:type="spellStart"/>
      <w:r w:rsidR="00100E33">
        <w:t>iTOL</w:t>
      </w:r>
      <w:proofErr w:type="spellEnd"/>
      <w:r w:rsidR="00100E33">
        <w:t xml:space="preserve"> (</w:t>
      </w:r>
      <w:hyperlink r:id="rId10" w:history="1">
        <w:r w:rsidR="00100E33" w:rsidRPr="00981003">
          <w:rPr>
            <w:rStyle w:val="Lienhypertexte"/>
          </w:rPr>
          <w:t>https://itol.em</w:t>
        </w:r>
        <w:r w:rsidR="00100E33" w:rsidRPr="00981003">
          <w:rPr>
            <w:rStyle w:val="Lienhypertexte"/>
          </w:rPr>
          <w:t>b</w:t>
        </w:r>
        <w:r w:rsidR="00100E33" w:rsidRPr="00981003">
          <w:rPr>
            <w:rStyle w:val="Lienhypertexte"/>
          </w:rPr>
          <w:t>l.de/</w:t>
        </w:r>
      </w:hyperlink>
      <w:r w:rsidR="00100E33">
        <w:t>)</w:t>
      </w:r>
      <w:r w:rsidR="002A3847">
        <w:t xml:space="preserve">. </w:t>
      </w:r>
      <w:r w:rsidR="0024004E">
        <w:t xml:space="preserve">Pour cela chargez (bouton </w:t>
      </w:r>
      <w:proofErr w:type="spellStart"/>
      <w:r w:rsidR="0024004E">
        <w:t>Upload</w:t>
      </w:r>
      <w:proofErr w:type="spellEnd"/>
      <w:r w:rsidR="0024004E">
        <w:t xml:space="preserve">) le </w:t>
      </w:r>
      <w:proofErr w:type="spellStart"/>
      <w:r w:rsidR="0024004E">
        <w:t>forma</w:t>
      </w:r>
      <w:proofErr w:type="spellEnd"/>
      <w:r w:rsidR="0024004E">
        <w:t xml:space="preserve"> </w:t>
      </w:r>
      <w:proofErr w:type="spellStart"/>
      <w:r w:rsidR="0024004E">
        <w:t>Newick</w:t>
      </w:r>
      <w:proofErr w:type="spellEnd"/>
      <w:r w:rsidR="0024004E">
        <w:t xml:space="preserve"> de l’arbre. </w:t>
      </w:r>
      <w:r w:rsidR="00AD2F8F">
        <w:t xml:space="preserve">Vous devez placer la racine de l’arbre, afficher les valeurs de </w:t>
      </w:r>
      <w:proofErr w:type="spellStart"/>
      <w:r w:rsidR="00AD2F8F">
        <w:t>bootstrap</w:t>
      </w:r>
      <w:proofErr w:type="spellEnd"/>
      <w:r w:rsidR="00AD2F8F">
        <w:t xml:space="preserve"> sur les branches, changer les noms de</w:t>
      </w:r>
      <w:r w:rsidR="00056374">
        <w:t>s</w:t>
      </w:r>
      <w:r w:rsidR="00AD2F8F">
        <w:t xml:space="preserve"> séquences </w:t>
      </w:r>
      <w:r w:rsidR="006B714C">
        <w:t xml:space="preserve">pour indiquer leur groupe taxonomique </w:t>
      </w:r>
      <w:r w:rsidR="00AD2F8F">
        <w:t xml:space="preserve">et l’exporter sous forme de fichier </w:t>
      </w:r>
      <w:proofErr w:type="spellStart"/>
      <w:r w:rsidR="00AD2F8F">
        <w:t>svg</w:t>
      </w:r>
      <w:proofErr w:type="spellEnd"/>
      <w:r w:rsidR="00AD2F8F">
        <w:t xml:space="preserve"> que vous nommerez « </w:t>
      </w:r>
      <w:r w:rsidR="00AD2F8F" w:rsidRPr="00AD2F8F">
        <w:t>Arbre ML PaSua5_Archaea_outgroup</w:t>
      </w:r>
      <w:r w:rsidR="00AD2F8F">
        <w:t xml:space="preserve">.svg ». Insérez l’arbre ci-dessous. </w:t>
      </w:r>
    </w:p>
    <w:p w14:paraId="1F354D6C" w14:textId="77777777" w:rsidR="00100E33" w:rsidRDefault="00100E33"/>
    <w:p w14:paraId="1882A115" w14:textId="3E5730CB" w:rsidR="002D525E" w:rsidRDefault="0002313C">
      <w:r>
        <w:t>2</w:t>
      </w:r>
      <w:r w:rsidR="0080180E">
        <w:t>7</w:t>
      </w:r>
      <w:r w:rsidR="006B714C">
        <w:t xml:space="preserve">. </w:t>
      </w:r>
      <w:r w:rsidR="005B0E45">
        <w:t>Commentez l’arbre que vous avez obtenu. E</w:t>
      </w:r>
      <w:r w:rsidR="001A4352">
        <w:t>st-il congruent avec l’arbre ci-dessous montrant les relations de parenté entre les 4 groupes majeurs d’Archées ?</w:t>
      </w:r>
      <w:r w:rsidR="005B0E45">
        <w:t xml:space="preserve"> </w:t>
      </w:r>
      <w:r w:rsidR="009D5F06">
        <w:t>Pouvons-nous</w:t>
      </w:r>
      <w:r w:rsidR="005B0E45">
        <w:t xml:space="preserve"> nous servir des protéines Sua5/</w:t>
      </w:r>
      <w:proofErr w:type="spellStart"/>
      <w:r w:rsidR="005B0E45">
        <w:t>TsaC</w:t>
      </w:r>
      <w:proofErr w:type="spellEnd"/>
      <w:r w:rsidR="005B0E45">
        <w:t xml:space="preserve"> comme marqueurs pour établir la phylogénie des Archées ? La phylogénie universelle ?</w:t>
      </w:r>
      <w:r w:rsidR="001A4352">
        <w:t xml:space="preserve"> </w:t>
      </w:r>
      <w:r w:rsidR="002D525E">
        <w:t xml:space="preserve">Pour information, les DPANN </w:t>
      </w:r>
      <w:r w:rsidR="0024004E">
        <w:t>(</w:t>
      </w:r>
      <w:proofErr w:type="spellStart"/>
      <w:r w:rsidR="0024004E">
        <w:t>Nanobdellati</w:t>
      </w:r>
      <w:proofErr w:type="spellEnd"/>
      <w:r w:rsidR="0024004E">
        <w:t xml:space="preserve">) </w:t>
      </w:r>
      <w:r w:rsidR="002D525E">
        <w:t xml:space="preserve">correspond à des </w:t>
      </w:r>
      <w:proofErr w:type="spellStart"/>
      <w:r w:rsidR="002D525E">
        <w:t>nanoarchées</w:t>
      </w:r>
      <w:proofErr w:type="spellEnd"/>
      <w:r w:rsidR="002D525E">
        <w:t xml:space="preserve"> (petites cellules) dont les génomes sont </w:t>
      </w:r>
      <w:r w:rsidR="00056374">
        <w:t xml:space="preserve">de taille </w:t>
      </w:r>
      <w:r w:rsidR="002D525E">
        <w:t>réduit</w:t>
      </w:r>
      <w:r w:rsidR="00056374">
        <w:t>e</w:t>
      </w:r>
      <w:r w:rsidR="002D525E">
        <w:t xml:space="preserve"> (&lt; 1Mpb), ces organismes se positionnent à la base de l’arbre des archées mais leur positionnement est actuellement débattu car leurs séquences subissent un taux d’évolution élevé et présentent donc des longues branches dans les reconstructions phylogénétiques.   </w:t>
      </w:r>
    </w:p>
    <w:p w14:paraId="29553CF2" w14:textId="4355CF9F" w:rsidR="0013381F" w:rsidRDefault="0080180E" w:rsidP="0013381F">
      <w:pPr>
        <w:rPr>
          <w:color w:val="FF0000"/>
        </w:rPr>
      </w:pPr>
      <w:r>
        <w:rPr>
          <w:noProof/>
        </w:rPr>
        <w:drawing>
          <wp:inline distT="0" distB="0" distL="0" distR="0" wp14:anchorId="1660B025" wp14:editId="3BF8930A">
            <wp:extent cx="5721350" cy="194482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85" cy="1957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13381F">
        <w:rPr>
          <w:color w:val="FF0000"/>
        </w:rPr>
        <w:br w:type="page"/>
      </w:r>
    </w:p>
    <w:p w14:paraId="70B748C6" w14:textId="3960FEAB" w:rsidR="0013381F" w:rsidRPr="0013381F" w:rsidRDefault="0013381F" w:rsidP="0013381F">
      <w:pPr>
        <w:pStyle w:val="Titre1"/>
      </w:pPr>
      <w:r>
        <w:lastRenderedPageBreak/>
        <w:t xml:space="preserve">Question </w:t>
      </w:r>
      <w:r w:rsidR="00B315FD">
        <w:t>b</w:t>
      </w:r>
      <w:r>
        <w:t>onus</w:t>
      </w:r>
      <w:r w:rsidR="00B315FD">
        <w:t xml:space="preserve"> pour les curieux</w:t>
      </w:r>
    </w:p>
    <w:p w14:paraId="4D4C4D2B" w14:textId="77777777" w:rsidR="0013381F" w:rsidRDefault="0013381F" w:rsidP="0013381F"/>
    <w:p w14:paraId="50C02E76" w14:textId="5D2BBFE6" w:rsidR="0013381F" w:rsidRDefault="0013381F" w:rsidP="0013381F">
      <w:pPr>
        <w:rPr>
          <w:bCs/>
        </w:rPr>
      </w:pPr>
      <w:r>
        <w:t>En cours nous avons vu une autre méthode probabiliste très utilisée pour la construction d’arbres phylogénétiques : l’approche Bayésienne. La f</w:t>
      </w:r>
      <w:r w:rsidRPr="00B40C0F">
        <w:t>ormule de Bayes</w:t>
      </w:r>
      <w:r>
        <w:t xml:space="preserve"> (ci-dessous)</w:t>
      </w:r>
      <w:r w:rsidRPr="00B40C0F">
        <w:t xml:space="preserve"> permet de calculer les </w:t>
      </w:r>
      <w:r w:rsidRPr="00B40C0F">
        <w:rPr>
          <w:i/>
          <w:iCs/>
        </w:rPr>
        <w:t xml:space="preserve">probabilités à posteriori </w:t>
      </w:r>
      <w:r w:rsidRPr="00B40C0F">
        <w:t xml:space="preserve">d’une hypothèse </w:t>
      </w:r>
      <w:r>
        <w:t>sachant</w:t>
      </w:r>
      <w:r w:rsidRPr="00B40C0F">
        <w:t xml:space="preserve"> </w:t>
      </w:r>
      <w:r w:rsidRPr="00B40C0F">
        <w:rPr>
          <w:bCs/>
        </w:rPr>
        <w:t>les données.</w:t>
      </w:r>
      <w:r>
        <w:rPr>
          <w:bCs/>
        </w:rPr>
        <w:t xml:space="preserve"> Cette formule est également utilisée par exemple en médecine pour calculer la probabilité d’être malade d’après les résultats d’un test de dépistage. Voici les données : </w:t>
      </w:r>
    </w:p>
    <w:p w14:paraId="77C348AB" w14:textId="77777777" w:rsidR="0013381F" w:rsidRPr="00126CF6" w:rsidRDefault="0013381F" w:rsidP="0013381F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Votre </w:t>
      </w:r>
      <w:r w:rsidRPr="00126CF6">
        <w:rPr>
          <w:bCs/>
        </w:rPr>
        <w:t>test pour le dépistage d</w:t>
      </w:r>
      <w:r>
        <w:rPr>
          <w:bCs/>
        </w:rPr>
        <w:t>’une forme de</w:t>
      </w:r>
      <w:r w:rsidRPr="00126CF6">
        <w:rPr>
          <w:bCs/>
        </w:rPr>
        <w:t xml:space="preserve"> cancer</w:t>
      </w:r>
      <w:r>
        <w:rPr>
          <w:bCs/>
        </w:rPr>
        <w:t xml:space="preserve"> est</w:t>
      </w:r>
      <w:r w:rsidRPr="00126CF6">
        <w:rPr>
          <w:bCs/>
        </w:rPr>
        <w:t xml:space="preserve"> positif</w:t>
      </w:r>
    </w:p>
    <w:p w14:paraId="19C7C63A" w14:textId="77777777" w:rsidR="0013381F" w:rsidRPr="00126CF6" w:rsidRDefault="0013381F" w:rsidP="0013381F">
      <w:pPr>
        <w:numPr>
          <w:ilvl w:val="0"/>
          <w:numId w:val="2"/>
        </w:numPr>
        <w:rPr>
          <w:bCs/>
        </w:rPr>
      </w:pPr>
      <w:r>
        <w:rPr>
          <w:bCs/>
        </w:rPr>
        <w:t>C</w:t>
      </w:r>
      <w:r w:rsidRPr="00126CF6">
        <w:rPr>
          <w:bCs/>
        </w:rPr>
        <w:t>e type de cancer ne touche que 0.1% de la population</w:t>
      </w:r>
    </w:p>
    <w:p w14:paraId="200C6D86" w14:textId="77777777" w:rsidR="0013381F" w:rsidRPr="00126CF6" w:rsidRDefault="0013381F" w:rsidP="0013381F">
      <w:pPr>
        <w:numPr>
          <w:ilvl w:val="0"/>
          <w:numId w:val="2"/>
        </w:numPr>
        <w:rPr>
          <w:bCs/>
        </w:rPr>
      </w:pPr>
      <w:r w:rsidRPr="00126CF6">
        <w:rPr>
          <w:bCs/>
          <w:i/>
          <w:iCs/>
        </w:rPr>
        <w:t xml:space="preserve">« Si vous avez </w:t>
      </w:r>
      <w:r>
        <w:rPr>
          <w:bCs/>
          <w:i/>
          <w:iCs/>
        </w:rPr>
        <w:t>un</w:t>
      </w:r>
      <w:r w:rsidRPr="00126CF6">
        <w:rPr>
          <w:bCs/>
          <w:i/>
          <w:iCs/>
        </w:rPr>
        <w:t xml:space="preserve"> cancer, le test sera positif dans 90% des cas »</w:t>
      </w:r>
    </w:p>
    <w:p w14:paraId="17D267FA" w14:textId="77777777" w:rsidR="0013381F" w:rsidRPr="00126CF6" w:rsidRDefault="0013381F" w:rsidP="0013381F">
      <w:pPr>
        <w:numPr>
          <w:ilvl w:val="0"/>
          <w:numId w:val="2"/>
        </w:numPr>
        <w:rPr>
          <w:bCs/>
        </w:rPr>
      </w:pPr>
      <w:proofErr w:type="gramStart"/>
      <w:r w:rsidRPr="00126CF6">
        <w:rPr>
          <w:bCs/>
          <w:i/>
          <w:iCs/>
        </w:rPr>
        <w:t>«  Si</w:t>
      </w:r>
      <w:proofErr w:type="gramEnd"/>
      <w:r w:rsidRPr="00126CF6">
        <w:rPr>
          <w:bCs/>
          <w:i/>
          <w:iCs/>
        </w:rPr>
        <w:t xml:space="preserve"> vous n</w:t>
      </w:r>
      <w:r>
        <w:rPr>
          <w:bCs/>
          <w:i/>
          <w:iCs/>
        </w:rPr>
        <w:t xml:space="preserve">’en </w:t>
      </w:r>
      <w:r w:rsidRPr="00126CF6">
        <w:rPr>
          <w:bCs/>
          <w:i/>
          <w:iCs/>
        </w:rPr>
        <w:t>avez pas, il sera négatif dans 97% des cas »</w:t>
      </w:r>
    </w:p>
    <w:p w14:paraId="7DEBA16E" w14:textId="77777777" w:rsidR="0013381F" w:rsidRPr="00126CF6" w:rsidRDefault="0013381F" w:rsidP="0013381F">
      <w:pPr>
        <w:rPr>
          <w:bCs/>
        </w:rPr>
      </w:pPr>
      <w:r w:rsidRPr="00126CF6">
        <w:rPr>
          <w:bCs/>
        </w:rPr>
        <w:t xml:space="preserve">Calculez la probabilité </w:t>
      </w:r>
      <w:r>
        <w:rPr>
          <w:bCs/>
        </w:rPr>
        <w:t>d’avoir un</w:t>
      </w:r>
      <w:r w:rsidRPr="00126CF6">
        <w:rPr>
          <w:bCs/>
        </w:rPr>
        <w:t xml:space="preserve"> cancer si vous êtes testés positif, </w:t>
      </w:r>
      <w:proofErr w:type="gramStart"/>
      <w:r w:rsidRPr="00126CF6">
        <w:rPr>
          <w:bCs/>
        </w:rPr>
        <w:t>P(</w:t>
      </w:r>
      <w:proofErr w:type="gramEnd"/>
      <w:r w:rsidRPr="00126CF6">
        <w:rPr>
          <w:bCs/>
        </w:rPr>
        <w:t>C | +)</w:t>
      </w:r>
      <w:r>
        <w:rPr>
          <w:bCs/>
        </w:rPr>
        <w:t>.</w:t>
      </w:r>
    </w:p>
    <w:p w14:paraId="539D0154" w14:textId="77777777" w:rsidR="0013381F" w:rsidRDefault="0013381F" w:rsidP="0013381F">
      <w:pPr>
        <w:rPr>
          <w:bCs/>
        </w:rPr>
      </w:pPr>
      <w:r w:rsidRPr="00126CF6">
        <w:rPr>
          <w:bCs/>
          <w:noProof/>
          <w:lang w:eastAsia="fr-FR"/>
        </w:rPr>
        <w:drawing>
          <wp:inline distT="0" distB="0" distL="0" distR="0" wp14:anchorId="0B26BFCE" wp14:editId="6898FE00">
            <wp:extent cx="1681843" cy="307300"/>
            <wp:effectExtent l="0" t="0" r="0" b="0"/>
            <wp:docPr id="13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F0DD2D5E-4697-4305-8B00-0E652EF74D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F0DD2D5E-4697-4305-8B00-0E652EF74D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899" cy="31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E3D5" w14:textId="730E5492" w:rsidR="0013381F" w:rsidRDefault="0013381F" w:rsidP="0013381F"/>
    <w:p w14:paraId="097E2DEC" w14:textId="7884F037" w:rsidR="006D15D4" w:rsidRDefault="006D15D4">
      <w:pPr>
        <w:rPr>
          <w:color w:val="FF0000"/>
        </w:rPr>
      </w:pPr>
      <w:r>
        <w:rPr>
          <w:color w:val="FF0000"/>
        </w:rPr>
        <w:br w:type="page"/>
      </w:r>
    </w:p>
    <w:p w14:paraId="1F005B4E" w14:textId="4455630B" w:rsidR="00D46AB7" w:rsidRPr="00F10119" w:rsidRDefault="006D15D4">
      <w:pPr>
        <w:rPr>
          <w:lang w:val="en-US"/>
        </w:rPr>
      </w:pPr>
      <w:r w:rsidRPr="00F10119">
        <w:rPr>
          <w:lang w:val="en-US"/>
        </w:rPr>
        <w:lastRenderedPageBreak/>
        <w:t>ANNEXE</w:t>
      </w:r>
    </w:p>
    <w:p w14:paraId="3472EF79" w14:textId="77777777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&gt;WP_010868714.1 </w:t>
      </w:r>
      <w:proofErr w:type="spellStart"/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threonylcarbamoyl</w:t>
      </w:r>
      <w:proofErr w:type="spellEnd"/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-AMP synthase [</w:t>
      </w:r>
      <w:proofErr w:type="spellStart"/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Pyrococcus</w:t>
      </w:r>
      <w:proofErr w:type="spellEnd"/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proofErr w:type="spellStart"/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abyssi</w:t>
      </w:r>
      <w:proofErr w:type="spellEnd"/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]</w:t>
      </w:r>
    </w:p>
    <w:p w14:paraId="3859C0DC" w14:textId="77777777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MTIIINVRERIEEWKIRIAAGFIREGKLVAFPTETVYGLGANALDENAVKRIFEAKGRPADNPLIIHIAS</w:t>
      </w:r>
    </w:p>
    <w:p w14:paraId="664891D5" w14:textId="77777777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FEQLEVLAKEIPEEAEMLAKRFWPGPLTLVLPKSEVVPRVITGGLDTVAVRMPAHEIALKLIELSERPIA</w:t>
      </w:r>
    </w:p>
    <w:p w14:paraId="090F9763" w14:textId="77777777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APSANISGKPSPTSAHHVAEDFYGKIECIIDGGETRIGVESTVIDLTEWPPVLLRPGGLPLEEIEKVIGE</w:t>
      </w:r>
    </w:p>
    <w:p w14:paraId="362F5FDF" w14:textId="77777777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IRIHPAVYGKSVDTAKAPGMKYRHYAPSAEVIVVEGPRDKVRRKIEELIAKFKEEGKKVGVIGSGSYDAD</w:t>
      </w:r>
    </w:p>
    <w:p w14:paraId="527DBC9C" w14:textId="1D3D551D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F10119">
        <w:rPr>
          <w:rFonts w:ascii="Courier New" w:eastAsia="Times New Roman" w:hAnsi="Courier New" w:cs="Courier New"/>
          <w:sz w:val="20"/>
          <w:szCs w:val="20"/>
          <w:lang w:val="en-US" w:eastAsia="fr-FR"/>
        </w:rPr>
        <w:t>EVFYLGDTVEEIARNLFKALRHMDRTGVDVILAEGVEEKGLGLAVMNRLRKASGYRIIKV</w:t>
      </w:r>
    </w:p>
    <w:p w14:paraId="54F6F4E1" w14:textId="77777777" w:rsidR="006D15D4" w:rsidRPr="00F10119" w:rsidRDefault="006D15D4" w:rsidP="006D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3CB99B44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Asgard_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RLI59347.1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threonylcarbamoyl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-AMP synthase [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Candidatus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Thorarchaeota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archaeon]</w:t>
      </w:r>
    </w:p>
    <w:p w14:paraId="37865D70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MVRIFRWPLRESEREMLSAILMNGGVVVYPTDTIYGIGGIIYDRRVVDKIYKIKERLRDKGLPILFGSIE</w:t>
      </w:r>
    </w:p>
    <w:p w14:paraId="38BB7472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KIEEIAILNPLAKKLAQRFWPGMLTLVVPLKRRELRFLTGLEDKIAVRIPSDEIVLEVIKLAGGAIIGTS</w:t>
      </w:r>
    </w:p>
    <w:p w14:paraId="0A6EFC54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ANLSGKLPCTNIKCVISQLGERMDAIVDGGERGTGFPSTIVEIQDDKKIKIIREGSIEVEKIKEAIGLEF</w:t>
      </w:r>
    </w:p>
    <w:p w14:paraId="5ED2DDDB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S</w:t>
      </w:r>
    </w:p>
    <w:p w14:paraId="1D217187" w14:textId="77777777" w:rsidR="006D15D4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  <w:lang w:val="en-GB"/>
        </w:rPr>
      </w:pPr>
    </w:p>
    <w:p w14:paraId="0A20BEDB" w14:textId="3374A66D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DPANN_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RLG13225.1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threonylcarbamoyl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-AMP synthase [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Candidatus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Pacearchaeota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archaeon]</w:t>
      </w:r>
    </w:p>
    <w:p w14:paraId="25468AD0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MEVEIIKVKEKLADNELIQAIRYLEQEKTVVFPTDTVYGIGADLFKEKAVKNLFEIKKRPLDKPINALVS</w:t>
      </w:r>
    </w:p>
    <w:p w14:paraId="1E480A55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SMKQAEMIVENIPDSAKKLIKEFWPGGLTIILKKKDIVPDIVTAGRETIGVRKPNNEIILQILEKFGKPL</w:t>
      </w:r>
    </w:p>
    <w:p w14:paraId="4CC11E45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AATSANISGLTSPITAKEVLQQLGEKSYLLIDGGKTIEKQPSTIIDLSSKKPLILRKGSVSVEKIKEILP</w:t>
      </w:r>
    </w:p>
    <w:p w14:paraId="27B30A2B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SIIE</w:t>
      </w:r>
    </w:p>
    <w:p w14:paraId="1A99E9F1" w14:textId="77777777" w:rsidR="006D15D4" w:rsidRPr="0013381F" w:rsidRDefault="006D15D4" w:rsidP="006D15D4">
      <w:pPr>
        <w:rPr>
          <w:color w:val="000000" w:themeColor="text1"/>
          <w:lang w:val="en-GB"/>
        </w:rPr>
      </w:pPr>
    </w:p>
    <w:p w14:paraId="171CABAA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TACK_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AIF13504.1 Sua5/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YciO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/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YrdC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/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YwlC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family protein (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rimN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, SUA5) [uncultured marine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thaumarchaeote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KM3_62_H02]</w:t>
      </w:r>
    </w:p>
    <w:p w14:paraId="41F25560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MKISCNDVDIQIATKAINDGAIVVFPTDTVYGLGCNPYNHDAVLSLYEIKKRKKTKPFPVLGYSKKELEK</w:t>
      </w:r>
    </w:p>
    <w:p w14:paraId="08C21BB2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IAEFNSLEEKIAEKFWPGPITLILKVKDKEIQKSLDLEGKIAVRVPNNQCILALLKECKLLVGTSANISG</w:t>
      </w:r>
    </w:p>
    <w:p w14:paraId="19AD2AA6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TAPFNDPKECGENLSGYDLLIDGGVISSQGESTIVEIENNDVKILRKGSVSEEMIKELT</w:t>
      </w:r>
    </w:p>
    <w:p w14:paraId="2349D183" w14:textId="77777777" w:rsidR="006D15D4" w:rsidRPr="0013381F" w:rsidRDefault="006D15D4" w:rsidP="006D15D4">
      <w:pPr>
        <w:rPr>
          <w:color w:val="000000" w:themeColor="text1"/>
          <w:lang w:val="en-GB"/>
        </w:rPr>
      </w:pPr>
    </w:p>
    <w:p w14:paraId="682C7B23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&gt;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Euryarcheeota_</w:t>
      </w: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WP_042702101.1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threonylcarbamoyl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-AMP synthase [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Methanobrevibacter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 xml:space="preserve"> </w:t>
      </w:r>
      <w:proofErr w:type="spellStart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arboriphilus</w:t>
      </w:r>
      <w:proofErr w:type="spellEnd"/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]</w:t>
      </w:r>
    </w:p>
    <w:p w14:paraId="0D7CCCF4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MKIVQMDQNNPDLDLIDEAIEVLTSGGVVLYPTDTVYGLGANVFNEKAVEKVYNIKNRDYFKPLSVCVSS</w:t>
      </w:r>
    </w:p>
    <w:p w14:paraId="07CF5AF3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IDEILLIADVGNNKTHQILKNNLPGPFTFIFYKKEPIHNYATKNHKVGIRIPENIISRKLTQSFPITTTS</w:t>
      </w:r>
    </w:p>
    <w:p w14:paraId="38E0D97F" w14:textId="1803916D" w:rsidR="006D15D4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  <w:r w:rsidRPr="0013381F"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  <w:t>ANLSGKKTLNNPDEIINQLNEGIDFVIDVGRLKQSEPSTIVDLTKKEPKILRKGSGILKSF</w:t>
      </w:r>
    </w:p>
    <w:p w14:paraId="5BEECE59" w14:textId="77777777" w:rsidR="006D15D4" w:rsidRPr="0013381F" w:rsidRDefault="006D15D4" w:rsidP="006D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GB" w:eastAsia="fr-FR"/>
        </w:rPr>
      </w:pPr>
    </w:p>
    <w:p w14:paraId="25049FFA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&gt;EZG56502.1 Sua5/</w:t>
      </w:r>
      <w:proofErr w:type="spellStart"/>
      <w:r w:rsidRPr="00B4476B">
        <w:rPr>
          <w:lang w:val="en-GB"/>
        </w:rPr>
        <w:t>YciO</w:t>
      </w:r>
      <w:proofErr w:type="spellEnd"/>
      <w:r w:rsidRPr="00B4476B">
        <w:rPr>
          <w:lang w:val="en-GB"/>
        </w:rPr>
        <w:t>/</w:t>
      </w:r>
      <w:proofErr w:type="spellStart"/>
      <w:r w:rsidRPr="00B4476B">
        <w:rPr>
          <w:lang w:val="en-GB"/>
        </w:rPr>
        <w:t>YrdC</w:t>
      </w:r>
      <w:proofErr w:type="spellEnd"/>
      <w:r w:rsidRPr="00B4476B">
        <w:rPr>
          <w:lang w:val="en-GB"/>
        </w:rPr>
        <w:t>/</w:t>
      </w:r>
      <w:proofErr w:type="spellStart"/>
      <w:r w:rsidRPr="00B4476B">
        <w:rPr>
          <w:lang w:val="en-GB"/>
        </w:rPr>
        <w:t>YwlC</w:t>
      </w:r>
      <w:proofErr w:type="spellEnd"/>
      <w:r w:rsidRPr="00B4476B">
        <w:rPr>
          <w:lang w:val="en-GB"/>
        </w:rPr>
        <w:t xml:space="preserve"> family protein [</w:t>
      </w:r>
      <w:proofErr w:type="spellStart"/>
      <w:r w:rsidRPr="00B4476B">
        <w:rPr>
          <w:lang w:val="en-GB"/>
        </w:rPr>
        <w:t>Gregarina</w:t>
      </w:r>
      <w:proofErr w:type="spellEnd"/>
      <w:r w:rsidRPr="00B4476B">
        <w:rPr>
          <w:lang w:val="en-GB"/>
        </w:rPr>
        <w:t xml:space="preserve"> </w:t>
      </w:r>
      <w:proofErr w:type="spellStart"/>
      <w:r w:rsidRPr="00B4476B">
        <w:rPr>
          <w:lang w:val="en-GB"/>
        </w:rPr>
        <w:t>niphandrodes</w:t>
      </w:r>
      <w:proofErr w:type="spellEnd"/>
      <w:r w:rsidRPr="00B4476B">
        <w:rPr>
          <w:lang w:val="en-GB"/>
        </w:rPr>
        <w:t>]</w:t>
      </w:r>
    </w:p>
    <w:p w14:paraId="3D79EE32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MERFRVEMEDDAPAVYEEAGRRIREGKLVAFPTETVYGLGGNGLDVEAVKSIYEMKRRPADDPVILHVID</w:t>
      </w:r>
    </w:p>
    <w:p w14:paraId="09B3CCBC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FQDAVELWDLALPLRRVIAGLQEAFWPGPLTIVAKANSQVPSEVTAGTGKVAVRCPAHPVARRLIAAARV</w:t>
      </w:r>
    </w:p>
    <w:p w14:paraId="51C1F03C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PIAAPSANLFSRISPTRADHVAKYFVNEDLMLIDCDSDACTIGIESVVISVEEDSIHILRPGAISRDQLQ</w:t>
      </w:r>
    </w:p>
    <w:p w14:paraId="182A0085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QAAPGIPVHDKIIPIEPSAPKDAVVAAECDFASSSPGQCLVHYSPSIPTCLIILNDAEKGLIDTEAGCEE</w:t>
      </w:r>
    </w:p>
    <w:p w14:paraId="1E62B62D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RETLHYDSADLERLLPLPLSRSAVIDLSANRFGFLKSSCLYWKCLCDATHDLFATFHEIEDMKVPERLYI</w:t>
      </w:r>
    </w:p>
    <w:p w14:paraId="4BF3973E" w14:textId="77777777" w:rsidR="006D15D4" w:rsidRPr="00B4476B" w:rsidRDefault="006D15D4" w:rsidP="006D15D4">
      <w:pPr>
        <w:pStyle w:val="PrformatHTML"/>
        <w:rPr>
          <w:lang w:val="en-GB"/>
        </w:rPr>
      </w:pPr>
      <w:r w:rsidRPr="00B4476B">
        <w:rPr>
          <w:lang w:val="en-GB"/>
        </w:rPr>
        <w:t>CTTMNDCHTNQGVLDRCIRAAAHHVIHWSPANKRAVSQ</w:t>
      </w:r>
    </w:p>
    <w:p w14:paraId="1AC576FD" w14:textId="77777777" w:rsidR="006D15D4" w:rsidRPr="00B4476B" w:rsidRDefault="006D15D4">
      <w:pPr>
        <w:rPr>
          <w:color w:val="FF0000"/>
          <w:lang w:val="en-GB"/>
        </w:rPr>
      </w:pPr>
    </w:p>
    <w:sectPr w:rsidR="006D15D4" w:rsidRPr="00B4476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469DB" w14:textId="77777777" w:rsidR="00227886" w:rsidRDefault="00227886" w:rsidP="00FC0C7B">
      <w:pPr>
        <w:spacing w:after="0" w:line="240" w:lineRule="auto"/>
      </w:pPr>
      <w:r>
        <w:separator/>
      </w:r>
    </w:p>
  </w:endnote>
  <w:endnote w:type="continuationSeparator" w:id="0">
    <w:p w14:paraId="3DD8A273" w14:textId="77777777" w:rsidR="00227886" w:rsidRDefault="00227886" w:rsidP="00F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562225"/>
      <w:docPartObj>
        <w:docPartGallery w:val="Page Numbers (Bottom of Page)"/>
        <w:docPartUnique/>
      </w:docPartObj>
    </w:sdtPr>
    <w:sdtEndPr/>
    <w:sdtContent>
      <w:p w14:paraId="16D700C8" w14:textId="0718464B" w:rsidR="009D2B01" w:rsidRDefault="009D2B0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A4">
          <w:rPr>
            <w:noProof/>
          </w:rPr>
          <w:t>2</w:t>
        </w:r>
        <w:r>
          <w:fldChar w:fldCharType="end"/>
        </w:r>
      </w:p>
    </w:sdtContent>
  </w:sdt>
  <w:p w14:paraId="5145C635" w14:textId="77777777" w:rsidR="009D2B01" w:rsidRDefault="009D2B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F7A5" w14:textId="77777777" w:rsidR="00227886" w:rsidRDefault="00227886" w:rsidP="00FC0C7B">
      <w:pPr>
        <w:spacing w:after="0" w:line="240" w:lineRule="auto"/>
      </w:pPr>
      <w:r>
        <w:separator/>
      </w:r>
    </w:p>
  </w:footnote>
  <w:footnote w:type="continuationSeparator" w:id="0">
    <w:p w14:paraId="3E0EDAC9" w14:textId="77777777" w:rsidR="00227886" w:rsidRDefault="00227886" w:rsidP="00F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3310" w14:textId="532C5269" w:rsidR="009D2B01" w:rsidRDefault="009D2B01">
    <w:pPr>
      <w:pStyle w:val="En-tte"/>
    </w:pPr>
    <w:r>
      <w:t>Université Paris-</w:t>
    </w:r>
    <w:r w:rsidR="00B11FD0">
      <w:t>Saclay</w:t>
    </w:r>
    <w:r>
      <w:t>, Faculté des s</w:t>
    </w:r>
    <w:r w:rsidR="00B31680">
      <w:t xml:space="preserve">ciences, M1 Biologie-Santé, </w:t>
    </w:r>
    <w:r w:rsidR="00B3689F">
      <w:t xml:space="preserve">Evolution et Biodiversité des Microorganismes, </w:t>
    </w:r>
    <w:r w:rsidR="00B31680">
      <w:t>202</w:t>
    </w:r>
    <w:r w:rsidR="008666B8">
      <w:t>4</w:t>
    </w:r>
    <w:r w:rsidR="00B3689F">
      <w:t>-202</w:t>
    </w:r>
    <w:r w:rsidR="008666B8">
      <w:t>5</w:t>
    </w:r>
  </w:p>
  <w:p w14:paraId="3F12AF80" w14:textId="77777777" w:rsidR="009D2B01" w:rsidRDefault="009D2B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74DD0"/>
    <w:multiLevelType w:val="multilevel"/>
    <w:tmpl w:val="B94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2660D"/>
    <w:multiLevelType w:val="hybridMultilevel"/>
    <w:tmpl w:val="9EA0E35A"/>
    <w:lvl w:ilvl="0" w:tplc="7442840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A1D2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4735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47F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D59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C978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84F3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12F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2668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15"/>
    <w:rsid w:val="00012BA9"/>
    <w:rsid w:val="00013DA4"/>
    <w:rsid w:val="0002313C"/>
    <w:rsid w:val="00030853"/>
    <w:rsid w:val="00033D53"/>
    <w:rsid w:val="00036F5B"/>
    <w:rsid w:val="000408B3"/>
    <w:rsid w:val="00056374"/>
    <w:rsid w:val="0006042E"/>
    <w:rsid w:val="00061F4E"/>
    <w:rsid w:val="00062D2E"/>
    <w:rsid w:val="00063E54"/>
    <w:rsid w:val="00064AB9"/>
    <w:rsid w:val="00065085"/>
    <w:rsid w:val="00066F4D"/>
    <w:rsid w:val="00070176"/>
    <w:rsid w:val="00071D0A"/>
    <w:rsid w:val="00083123"/>
    <w:rsid w:val="000962CB"/>
    <w:rsid w:val="000A02CC"/>
    <w:rsid w:val="000A4CB1"/>
    <w:rsid w:val="000B3DFC"/>
    <w:rsid w:val="000C4C67"/>
    <w:rsid w:val="000E1FBC"/>
    <w:rsid w:val="00100E33"/>
    <w:rsid w:val="00107023"/>
    <w:rsid w:val="00126CF6"/>
    <w:rsid w:val="0013381F"/>
    <w:rsid w:val="00137391"/>
    <w:rsid w:val="00137D72"/>
    <w:rsid w:val="00165FDB"/>
    <w:rsid w:val="00170570"/>
    <w:rsid w:val="00173D7F"/>
    <w:rsid w:val="00185FDA"/>
    <w:rsid w:val="00190D53"/>
    <w:rsid w:val="001A19CB"/>
    <w:rsid w:val="001A384B"/>
    <w:rsid w:val="001A4352"/>
    <w:rsid w:val="001A7D95"/>
    <w:rsid w:val="001D4A53"/>
    <w:rsid w:val="00211725"/>
    <w:rsid w:val="00220462"/>
    <w:rsid w:val="002217D1"/>
    <w:rsid w:val="002238FA"/>
    <w:rsid w:val="00227886"/>
    <w:rsid w:val="00227E69"/>
    <w:rsid w:val="0024004E"/>
    <w:rsid w:val="00255993"/>
    <w:rsid w:val="00263737"/>
    <w:rsid w:val="002658AA"/>
    <w:rsid w:val="00294FED"/>
    <w:rsid w:val="00297DDB"/>
    <w:rsid w:val="002A3847"/>
    <w:rsid w:val="002B42D4"/>
    <w:rsid w:val="002C1783"/>
    <w:rsid w:val="002C1EC5"/>
    <w:rsid w:val="002C3258"/>
    <w:rsid w:val="002C48A4"/>
    <w:rsid w:val="002C6BA6"/>
    <w:rsid w:val="002C7994"/>
    <w:rsid w:val="002D451B"/>
    <w:rsid w:val="002D525E"/>
    <w:rsid w:val="002E0314"/>
    <w:rsid w:val="002F58D1"/>
    <w:rsid w:val="00300228"/>
    <w:rsid w:val="00300D94"/>
    <w:rsid w:val="003010B8"/>
    <w:rsid w:val="00307D35"/>
    <w:rsid w:val="00313B52"/>
    <w:rsid w:val="00315091"/>
    <w:rsid w:val="00315E4B"/>
    <w:rsid w:val="003256AC"/>
    <w:rsid w:val="00332B64"/>
    <w:rsid w:val="00333231"/>
    <w:rsid w:val="003451BD"/>
    <w:rsid w:val="003565C8"/>
    <w:rsid w:val="00372D18"/>
    <w:rsid w:val="003809E0"/>
    <w:rsid w:val="00385F1F"/>
    <w:rsid w:val="003865BB"/>
    <w:rsid w:val="003B7843"/>
    <w:rsid w:val="003C08EA"/>
    <w:rsid w:val="003D4863"/>
    <w:rsid w:val="003E0E12"/>
    <w:rsid w:val="0042009A"/>
    <w:rsid w:val="00420C73"/>
    <w:rsid w:val="00421239"/>
    <w:rsid w:val="00422008"/>
    <w:rsid w:val="00435496"/>
    <w:rsid w:val="00440C2C"/>
    <w:rsid w:val="0045382D"/>
    <w:rsid w:val="0045445D"/>
    <w:rsid w:val="00455D23"/>
    <w:rsid w:val="00456867"/>
    <w:rsid w:val="00461384"/>
    <w:rsid w:val="00465C68"/>
    <w:rsid w:val="00470D03"/>
    <w:rsid w:val="00471219"/>
    <w:rsid w:val="004854A5"/>
    <w:rsid w:val="004931F1"/>
    <w:rsid w:val="00493EC0"/>
    <w:rsid w:val="004A4EA9"/>
    <w:rsid w:val="004B13F3"/>
    <w:rsid w:val="004B7CE8"/>
    <w:rsid w:val="004C1A6A"/>
    <w:rsid w:val="004D0663"/>
    <w:rsid w:val="004E0D56"/>
    <w:rsid w:val="005039E2"/>
    <w:rsid w:val="00503F3F"/>
    <w:rsid w:val="0051488C"/>
    <w:rsid w:val="0052123B"/>
    <w:rsid w:val="0052388B"/>
    <w:rsid w:val="005243BC"/>
    <w:rsid w:val="005275CF"/>
    <w:rsid w:val="0053000B"/>
    <w:rsid w:val="00532B41"/>
    <w:rsid w:val="00533DFC"/>
    <w:rsid w:val="00550CA4"/>
    <w:rsid w:val="005569D0"/>
    <w:rsid w:val="00571EE5"/>
    <w:rsid w:val="00575D71"/>
    <w:rsid w:val="00581611"/>
    <w:rsid w:val="0059307B"/>
    <w:rsid w:val="0059481A"/>
    <w:rsid w:val="005A3231"/>
    <w:rsid w:val="005A48F5"/>
    <w:rsid w:val="005B0E45"/>
    <w:rsid w:val="005D55B8"/>
    <w:rsid w:val="005E234D"/>
    <w:rsid w:val="005E3FA5"/>
    <w:rsid w:val="005F5AD0"/>
    <w:rsid w:val="00600F02"/>
    <w:rsid w:val="00612297"/>
    <w:rsid w:val="006125FC"/>
    <w:rsid w:val="006520E0"/>
    <w:rsid w:val="00654F5F"/>
    <w:rsid w:val="00657B6D"/>
    <w:rsid w:val="00673E45"/>
    <w:rsid w:val="00675682"/>
    <w:rsid w:val="006935D8"/>
    <w:rsid w:val="0069488E"/>
    <w:rsid w:val="006A151F"/>
    <w:rsid w:val="006A40F4"/>
    <w:rsid w:val="006B3677"/>
    <w:rsid w:val="006B714C"/>
    <w:rsid w:val="006C0D8C"/>
    <w:rsid w:val="006D11C4"/>
    <w:rsid w:val="006D15D4"/>
    <w:rsid w:val="006D7925"/>
    <w:rsid w:val="00711296"/>
    <w:rsid w:val="0071285B"/>
    <w:rsid w:val="00716E9F"/>
    <w:rsid w:val="00721378"/>
    <w:rsid w:val="007366C4"/>
    <w:rsid w:val="00746C4B"/>
    <w:rsid w:val="007471BF"/>
    <w:rsid w:val="00764795"/>
    <w:rsid w:val="007865D2"/>
    <w:rsid w:val="00794C5D"/>
    <w:rsid w:val="007A3B6E"/>
    <w:rsid w:val="007B6B58"/>
    <w:rsid w:val="007C1362"/>
    <w:rsid w:val="007C54EE"/>
    <w:rsid w:val="007C74C8"/>
    <w:rsid w:val="007D26B0"/>
    <w:rsid w:val="007E6596"/>
    <w:rsid w:val="007F1615"/>
    <w:rsid w:val="007F5EB2"/>
    <w:rsid w:val="0080180E"/>
    <w:rsid w:val="008119E1"/>
    <w:rsid w:val="008141A5"/>
    <w:rsid w:val="00816A07"/>
    <w:rsid w:val="00827072"/>
    <w:rsid w:val="00836BF6"/>
    <w:rsid w:val="00843299"/>
    <w:rsid w:val="0085048A"/>
    <w:rsid w:val="008505FF"/>
    <w:rsid w:val="00852214"/>
    <w:rsid w:val="008525E4"/>
    <w:rsid w:val="00855C3E"/>
    <w:rsid w:val="00863E5B"/>
    <w:rsid w:val="008666B8"/>
    <w:rsid w:val="00871519"/>
    <w:rsid w:val="00881A82"/>
    <w:rsid w:val="00881D78"/>
    <w:rsid w:val="00886201"/>
    <w:rsid w:val="0089242C"/>
    <w:rsid w:val="0089244A"/>
    <w:rsid w:val="008972D4"/>
    <w:rsid w:val="008A1EDE"/>
    <w:rsid w:val="008B4AD6"/>
    <w:rsid w:val="008B6EF6"/>
    <w:rsid w:val="008C523E"/>
    <w:rsid w:val="008D2144"/>
    <w:rsid w:val="00906680"/>
    <w:rsid w:val="009068E0"/>
    <w:rsid w:val="0091053F"/>
    <w:rsid w:val="00912876"/>
    <w:rsid w:val="00916AA8"/>
    <w:rsid w:val="00926E3C"/>
    <w:rsid w:val="00937FC5"/>
    <w:rsid w:val="00941961"/>
    <w:rsid w:val="009430C7"/>
    <w:rsid w:val="009440EE"/>
    <w:rsid w:val="00947A80"/>
    <w:rsid w:val="00960A95"/>
    <w:rsid w:val="00964AD5"/>
    <w:rsid w:val="0097025B"/>
    <w:rsid w:val="00973637"/>
    <w:rsid w:val="009773F0"/>
    <w:rsid w:val="00980FD2"/>
    <w:rsid w:val="00986EDF"/>
    <w:rsid w:val="00991364"/>
    <w:rsid w:val="009A5A36"/>
    <w:rsid w:val="009B0A68"/>
    <w:rsid w:val="009D2B01"/>
    <w:rsid w:val="009D5F06"/>
    <w:rsid w:val="009E018A"/>
    <w:rsid w:val="009E2EBE"/>
    <w:rsid w:val="009F38CE"/>
    <w:rsid w:val="00A0698A"/>
    <w:rsid w:val="00A20F42"/>
    <w:rsid w:val="00A212FE"/>
    <w:rsid w:val="00A27EA6"/>
    <w:rsid w:val="00A324EF"/>
    <w:rsid w:val="00A37675"/>
    <w:rsid w:val="00A37C50"/>
    <w:rsid w:val="00A4170D"/>
    <w:rsid w:val="00A4251B"/>
    <w:rsid w:val="00A6264D"/>
    <w:rsid w:val="00A67186"/>
    <w:rsid w:val="00A72D6D"/>
    <w:rsid w:val="00A75D65"/>
    <w:rsid w:val="00A80D65"/>
    <w:rsid w:val="00A8267E"/>
    <w:rsid w:val="00A85030"/>
    <w:rsid w:val="00A93813"/>
    <w:rsid w:val="00A97A2D"/>
    <w:rsid w:val="00AB701F"/>
    <w:rsid w:val="00AC2B75"/>
    <w:rsid w:val="00AC4584"/>
    <w:rsid w:val="00AD2F8F"/>
    <w:rsid w:val="00AD6119"/>
    <w:rsid w:val="00AF7B87"/>
    <w:rsid w:val="00B016EF"/>
    <w:rsid w:val="00B06EB0"/>
    <w:rsid w:val="00B11FD0"/>
    <w:rsid w:val="00B16AB5"/>
    <w:rsid w:val="00B260D1"/>
    <w:rsid w:val="00B315FD"/>
    <w:rsid w:val="00B31680"/>
    <w:rsid w:val="00B3689F"/>
    <w:rsid w:val="00B376EE"/>
    <w:rsid w:val="00B40C0F"/>
    <w:rsid w:val="00B43686"/>
    <w:rsid w:val="00B4476B"/>
    <w:rsid w:val="00B514A2"/>
    <w:rsid w:val="00B575F1"/>
    <w:rsid w:val="00B80A63"/>
    <w:rsid w:val="00B9588F"/>
    <w:rsid w:val="00BB1842"/>
    <w:rsid w:val="00BB2B0D"/>
    <w:rsid w:val="00BB75B0"/>
    <w:rsid w:val="00BC28F0"/>
    <w:rsid w:val="00BD2652"/>
    <w:rsid w:val="00BF13F0"/>
    <w:rsid w:val="00C05754"/>
    <w:rsid w:val="00C10AC5"/>
    <w:rsid w:val="00C14710"/>
    <w:rsid w:val="00C17372"/>
    <w:rsid w:val="00C36664"/>
    <w:rsid w:val="00C600A2"/>
    <w:rsid w:val="00C621EB"/>
    <w:rsid w:val="00C62D03"/>
    <w:rsid w:val="00C73178"/>
    <w:rsid w:val="00C7667A"/>
    <w:rsid w:val="00C85D2D"/>
    <w:rsid w:val="00C91F49"/>
    <w:rsid w:val="00C93DFD"/>
    <w:rsid w:val="00C97D75"/>
    <w:rsid w:val="00CA22FD"/>
    <w:rsid w:val="00CA2F3E"/>
    <w:rsid w:val="00CA3320"/>
    <w:rsid w:val="00CB4B16"/>
    <w:rsid w:val="00CF041C"/>
    <w:rsid w:val="00CF1730"/>
    <w:rsid w:val="00CF3CAA"/>
    <w:rsid w:val="00CF7DCD"/>
    <w:rsid w:val="00D01184"/>
    <w:rsid w:val="00D03503"/>
    <w:rsid w:val="00D07D30"/>
    <w:rsid w:val="00D1745D"/>
    <w:rsid w:val="00D176C5"/>
    <w:rsid w:val="00D250A6"/>
    <w:rsid w:val="00D263C3"/>
    <w:rsid w:val="00D27A11"/>
    <w:rsid w:val="00D311F7"/>
    <w:rsid w:val="00D335EB"/>
    <w:rsid w:val="00D46AB7"/>
    <w:rsid w:val="00D5022A"/>
    <w:rsid w:val="00D5105E"/>
    <w:rsid w:val="00D52E51"/>
    <w:rsid w:val="00D57FD0"/>
    <w:rsid w:val="00D61797"/>
    <w:rsid w:val="00D74C04"/>
    <w:rsid w:val="00D8566A"/>
    <w:rsid w:val="00D92948"/>
    <w:rsid w:val="00DA225E"/>
    <w:rsid w:val="00DB097E"/>
    <w:rsid w:val="00DB69E4"/>
    <w:rsid w:val="00DD16BA"/>
    <w:rsid w:val="00DD54D4"/>
    <w:rsid w:val="00DE24D2"/>
    <w:rsid w:val="00DF13B6"/>
    <w:rsid w:val="00DF64AD"/>
    <w:rsid w:val="00E07724"/>
    <w:rsid w:val="00E17429"/>
    <w:rsid w:val="00E207D5"/>
    <w:rsid w:val="00E2333C"/>
    <w:rsid w:val="00E25642"/>
    <w:rsid w:val="00E31A3C"/>
    <w:rsid w:val="00E35514"/>
    <w:rsid w:val="00E36C7E"/>
    <w:rsid w:val="00E46E9E"/>
    <w:rsid w:val="00E516AD"/>
    <w:rsid w:val="00E6247A"/>
    <w:rsid w:val="00E649DE"/>
    <w:rsid w:val="00E65B92"/>
    <w:rsid w:val="00E70540"/>
    <w:rsid w:val="00E77470"/>
    <w:rsid w:val="00E818CC"/>
    <w:rsid w:val="00E912B8"/>
    <w:rsid w:val="00EA1B05"/>
    <w:rsid w:val="00EA79EE"/>
    <w:rsid w:val="00EC011C"/>
    <w:rsid w:val="00EC26AB"/>
    <w:rsid w:val="00ED3B8B"/>
    <w:rsid w:val="00F06800"/>
    <w:rsid w:val="00F10119"/>
    <w:rsid w:val="00F15802"/>
    <w:rsid w:val="00F17085"/>
    <w:rsid w:val="00F21F7F"/>
    <w:rsid w:val="00F33B02"/>
    <w:rsid w:val="00F33DEE"/>
    <w:rsid w:val="00F66AE7"/>
    <w:rsid w:val="00F7391F"/>
    <w:rsid w:val="00F7521C"/>
    <w:rsid w:val="00F75EEE"/>
    <w:rsid w:val="00F76C82"/>
    <w:rsid w:val="00F82CF3"/>
    <w:rsid w:val="00F91510"/>
    <w:rsid w:val="00F91EAA"/>
    <w:rsid w:val="00FB05C6"/>
    <w:rsid w:val="00FB4D2B"/>
    <w:rsid w:val="00FB7140"/>
    <w:rsid w:val="00FC0C7B"/>
    <w:rsid w:val="00FD6A8B"/>
    <w:rsid w:val="00FE5996"/>
    <w:rsid w:val="00FF4902"/>
    <w:rsid w:val="00FF4FC2"/>
    <w:rsid w:val="00FF5EE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28BD"/>
  <w15:chartTrackingRefBased/>
  <w15:docId w15:val="{A5B15516-B791-485A-BE59-EF923547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2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D26B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D26B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27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275C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1E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A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8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82C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C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C7B"/>
  </w:style>
  <w:style w:type="paragraph" w:styleId="Pieddepage">
    <w:name w:val="footer"/>
    <w:basedOn w:val="Normal"/>
    <w:link w:val="PieddepageCar"/>
    <w:uiPriority w:val="99"/>
    <w:unhideWhenUsed/>
    <w:rsid w:val="00FC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C7B"/>
  </w:style>
  <w:style w:type="character" w:styleId="Marquedecommentaire">
    <w:name w:val="annotation reference"/>
    <w:basedOn w:val="Policepardfaut"/>
    <w:uiPriority w:val="99"/>
    <w:semiHidden/>
    <w:unhideWhenUsed/>
    <w:rsid w:val="00A80D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0D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0D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D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D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D6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D4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ol.embl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32F3-09CE-4FCB-B798-12FECAE1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2627</Words>
  <Characters>14451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BASTA-LE BERRE</dc:creator>
  <cp:keywords/>
  <dc:description/>
  <cp:lastModifiedBy>Tamara Basta-Le Berre</cp:lastModifiedBy>
  <cp:revision>4</cp:revision>
  <cp:lastPrinted>2019-12-13T20:53:00Z</cp:lastPrinted>
  <dcterms:created xsi:type="dcterms:W3CDTF">2024-11-27T09:20:00Z</dcterms:created>
  <dcterms:modified xsi:type="dcterms:W3CDTF">2024-11-27T09:23:00Z</dcterms:modified>
</cp:coreProperties>
</file>