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F6F9E" w14:textId="639E124B" w:rsidR="00B26914" w:rsidRDefault="00B26914" w:rsidP="00B26914">
      <w:pPr>
        <w:spacing w:line="240" w:lineRule="auto"/>
        <w:contextualSpacing/>
        <w:jc w:val="center"/>
        <w:rPr>
          <w:b/>
          <w:bCs/>
          <w:sz w:val="28"/>
          <w:szCs w:val="28"/>
        </w:rPr>
      </w:pPr>
      <w:r>
        <w:rPr>
          <w:b/>
          <w:bCs/>
          <w:sz w:val="28"/>
          <w:szCs w:val="28"/>
        </w:rPr>
        <w:t>Cas clinique Immunologie</w:t>
      </w:r>
    </w:p>
    <w:p w14:paraId="4665548D" w14:textId="5A971F2C" w:rsidR="00B26914" w:rsidRDefault="00B26914" w:rsidP="00E06D49">
      <w:pPr>
        <w:spacing w:line="240" w:lineRule="auto"/>
        <w:contextualSpacing/>
        <w:jc w:val="center"/>
        <w:rPr>
          <w:b/>
          <w:bCs/>
          <w:sz w:val="28"/>
          <w:szCs w:val="28"/>
        </w:rPr>
      </w:pPr>
      <w:r>
        <w:rPr>
          <w:b/>
          <w:bCs/>
          <w:sz w:val="28"/>
          <w:szCs w:val="28"/>
        </w:rPr>
        <w:t>Aude Gleizes</w:t>
      </w:r>
    </w:p>
    <w:p w14:paraId="7EC785B8" w14:textId="5FDDC9E4" w:rsidR="00B26914" w:rsidRPr="00E06D49" w:rsidRDefault="00E06D49" w:rsidP="00B26914">
      <w:pPr>
        <w:spacing w:line="240" w:lineRule="auto"/>
        <w:contextualSpacing/>
        <w:jc w:val="center"/>
        <w:rPr>
          <w:b/>
          <w:bCs/>
          <w:i/>
          <w:iCs/>
          <w:sz w:val="28"/>
          <w:szCs w:val="28"/>
        </w:rPr>
      </w:pPr>
      <w:r w:rsidRPr="00E06D49">
        <w:rPr>
          <w:b/>
          <w:bCs/>
          <w:i/>
          <w:iCs/>
          <w:sz w:val="28"/>
          <w:szCs w:val="28"/>
        </w:rPr>
        <w:t>Colle septembre 2024</w:t>
      </w:r>
    </w:p>
    <w:p w14:paraId="5AD39EFB" w14:textId="15234747" w:rsidR="00B26914" w:rsidRDefault="00B26914" w:rsidP="00B26914">
      <w:pPr>
        <w:rPr>
          <w:sz w:val="24"/>
          <w:szCs w:val="24"/>
        </w:rPr>
      </w:pPr>
    </w:p>
    <w:p w14:paraId="05721FCD" w14:textId="5C4363C8" w:rsidR="00B26914" w:rsidRPr="002B209A" w:rsidRDefault="00E06D49" w:rsidP="00B26914">
      <w:pPr>
        <w:jc w:val="both"/>
      </w:pPr>
      <w:r w:rsidRPr="002B209A">
        <w:t>Véronique</w:t>
      </w:r>
      <w:r w:rsidR="00B26914" w:rsidRPr="002B209A">
        <w:t>, 5</w:t>
      </w:r>
      <w:r w:rsidRPr="002B209A">
        <w:t>2</w:t>
      </w:r>
      <w:r w:rsidR="00B26914" w:rsidRPr="002B209A">
        <w:t xml:space="preserve"> ans, souffre depuis 2 mois de douleurs articulaires au niveau de ses mains </w:t>
      </w:r>
      <w:r w:rsidR="009B2B6C" w:rsidRPr="002B209A">
        <w:t>et de ses genoux ainsi que d’</w:t>
      </w:r>
      <w:r w:rsidR="00B26914" w:rsidRPr="002B209A">
        <w:t xml:space="preserve">enraidissements au réveil nécessitant un long dérouillage matinal. </w:t>
      </w:r>
      <w:r w:rsidRPr="002B209A">
        <w:t xml:space="preserve">Les examens biologiques prescrits par son médecin traitant montrent un syndrome inflammatoire objectivé par une augmentation de la vitesse de sédimentation (VS) et de la Protéine C-réactive (CRP), une absence d’anticorps antinucléaires et </w:t>
      </w:r>
      <w:r w:rsidR="00AC300F" w:rsidRPr="002B209A">
        <w:t xml:space="preserve">la présence, à des titres élevés, </w:t>
      </w:r>
      <w:r w:rsidRPr="002B209A">
        <w:t>des deux autoanticorps classiquement re</w:t>
      </w:r>
      <w:r w:rsidR="00AC300F" w:rsidRPr="002B209A">
        <w:t>cherchés pour l’établissement d’un diagnostic de</w:t>
      </w:r>
      <w:r w:rsidRPr="002B209A">
        <w:t xml:space="preserve"> polyarthrite rhumatoïde (PR).</w:t>
      </w:r>
    </w:p>
    <w:p w14:paraId="0F8D5C2F" w14:textId="2FD12A9C" w:rsidR="00B26914" w:rsidRPr="002B209A" w:rsidRDefault="00B26914" w:rsidP="00B26914">
      <w:pPr>
        <w:jc w:val="both"/>
      </w:pPr>
      <w:r w:rsidRPr="002B209A">
        <w:rPr>
          <w:b/>
          <w:bCs/>
        </w:rPr>
        <w:t xml:space="preserve">Question </w:t>
      </w:r>
      <w:r w:rsidR="008E1CBE" w:rsidRPr="002B209A">
        <w:rPr>
          <w:b/>
          <w:bCs/>
        </w:rPr>
        <w:t>1</w:t>
      </w:r>
      <w:r w:rsidRPr="002B209A">
        <w:t xml:space="preserve"> : </w:t>
      </w:r>
      <w:r w:rsidR="00AC300F" w:rsidRPr="002B209A">
        <w:t>Quels sont</w:t>
      </w:r>
      <w:r w:rsidRPr="002B209A">
        <w:t xml:space="preserve"> </w:t>
      </w:r>
      <w:r w:rsidR="00AC300F" w:rsidRPr="002B209A">
        <w:t>c</w:t>
      </w:r>
      <w:r w:rsidRPr="002B209A">
        <w:t xml:space="preserve">es </w:t>
      </w:r>
      <w:r w:rsidR="00E06D49" w:rsidRPr="002B209A">
        <w:t>deux</w:t>
      </w:r>
      <w:r w:rsidRPr="002B209A">
        <w:t xml:space="preserve"> </w:t>
      </w:r>
      <w:r w:rsidR="00E06D49" w:rsidRPr="002B209A">
        <w:t>autoanticorps</w:t>
      </w:r>
      <w:r w:rsidR="009B2B6C" w:rsidRPr="002B209A">
        <w:t xml:space="preserve"> </w:t>
      </w:r>
      <w:r w:rsidR="00AC300F" w:rsidRPr="002B209A">
        <w:t xml:space="preserve">? </w:t>
      </w:r>
      <w:r w:rsidR="009B2B6C" w:rsidRPr="002B209A">
        <w:t>Donnez</w:t>
      </w:r>
      <w:r w:rsidR="00AC300F" w:rsidRPr="002B209A">
        <w:t xml:space="preserve"> leurs principales caractéristiques </w:t>
      </w:r>
      <w:r w:rsidR="009B2B6C" w:rsidRPr="002B209A">
        <w:t>et précisez les informations apportées par le résultat</w:t>
      </w:r>
      <w:r w:rsidR="00AC300F" w:rsidRPr="002B209A">
        <w:t xml:space="preserve"> </w:t>
      </w:r>
      <w:r w:rsidR="009B2B6C" w:rsidRPr="002B209A">
        <w:t>obtenu d</w:t>
      </w:r>
      <w:r w:rsidR="00AC300F" w:rsidRPr="002B209A">
        <w:t>ans le cas de Véronique</w:t>
      </w:r>
      <w:r w:rsidR="009B2B6C" w:rsidRPr="002B209A">
        <w:t>.</w:t>
      </w:r>
    </w:p>
    <w:p w14:paraId="504A53E7" w14:textId="2309F2C6" w:rsidR="008E1CBE" w:rsidRPr="002B209A" w:rsidRDefault="008E1CBE" w:rsidP="008E1CBE">
      <w:pPr>
        <w:jc w:val="both"/>
      </w:pPr>
      <w:r w:rsidRPr="002B209A">
        <w:rPr>
          <w:b/>
          <w:bCs/>
        </w:rPr>
        <w:t xml:space="preserve">Question 2 : </w:t>
      </w:r>
      <w:r w:rsidR="009B2B6C" w:rsidRPr="002B209A">
        <w:t xml:space="preserve">Dans le cadre du diagnostic différentiel entre le lupus et </w:t>
      </w:r>
      <w:proofErr w:type="gramStart"/>
      <w:r w:rsidR="009B2B6C" w:rsidRPr="002B209A">
        <w:t>la PR</w:t>
      </w:r>
      <w:proofErr w:type="gramEnd"/>
      <w:r w:rsidR="009B2B6C" w:rsidRPr="002B209A">
        <w:t xml:space="preserve">, quels sont les éléments </w:t>
      </w:r>
      <w:proofErr w:type="spellStart"/>
      <w:r w:rsidR="009B2B6C" w:rsidRPr="002B209A">
        <w:t>clinico</w:t>
      </w:r>
      <w:proofErr w:type="spellEnd"/>
      <w:r w:rsidR="009B2B6C" w:rsidRPr="002B209A">
        <w:t>-biologiques présentés ici en faveur d’un diagnostic de PR ?</w:t>
      </w:r>
    </w:p>
    <w:p w14:paraId="57B02D66" w14:textId="05A7D23C" w:rsidR="00B26914" w:rsidRPr="002B209A" w:rsidRDefault="00B26914" w:rsidP="00B26914">
      <w:pPr>
        <w:jc w:val="both"/>
      </w:pPr>
      <w:r w:rsidRPr="002B209A">
        <w:t xml:space="preserve">Un traitement comprenant </w:t>
      </w:r>
      <w:r w:rsidR="009B2B6C" w:rsidRPr="002B209A">
        <w:t>de la prednisone</w:t>
      </w:r>
      <w:r w:rsidRPr="002B209A">
        <w:t xml:space="preserve"> et du méthotrexate est instauré.</w:t>
      </w:r>
    </w:p>
    <w:p w14:paraId="686C0601" w14:textId="1E3B590F" w:rsidR="000A17B6" w:rsidRPr="002B209A" w:rsidRDefault="000A17B6" w:rsidP="00B26914">
      <w:pPr>
        <w:jc w:val="both"/>
      </w:pPr>
      <w:r w:rsidRPr="002B209A">
        <w:rPr>
          <w:b/>
          <w:bCs/>
        </w:rPr>
        <w:t>Question 3</w:t>
      </w:r>
      <w:r w:rsidRPr="002B209A">
        <w:t xml:space="preserve"> : Précisez le rôle de </w:t>
      </w:r>
      <w:r w:rsidR="007C2EDE">
        <w:t>ces</w:t>
      </w:r>
      <w:r w:rsidRPr="002B209A">
        <w:t xml:space="preserve"> deux molécules dans la stratégie de la prise en charge thérapeutique de Véronique</w:t>
      </w:r>
      <w:r w:rsidR="002B209A">
        <w:t>.</w:t>
      </w:r>
    </w:p>
    <w:p w14:paraId="1B4128E5" w14:textId="051FBA61" w:rsidR="00B26914" w:rsidRPr="002B209A" w:rsidRDefault="00B26914" w:rsidP="00B26914">
      <w:pPr>
        <w:jc w:val="both"/>
      </w:pPr>
      <w:r w:rsidRPr="002B209A">
        <w:rPr>
          <w:b/>
          <w:bCs/>
        </w:rPr>
        <w:t xml:space="preserve">Question </w:t>
      </w:r>
      <w:r w:rsidR="00E66111" w:rsidRPr="002B209A">
        <w:rPr>
          <w:b/>
          <w:bCs/>
        </w:rPr>
        <w:t>4</w:t>
      </w:r>
      <w:r w:rsidRPr="002B209A">
        <w:t xml:space="preserve"> : A quelle classe thérapeutique appartient le méthotrexate ? Quel est son mécanisme </w:t>
      </w:r>
      <w:proofErr w:type="gramStart"/>
      <w:r w:rsidRPr="002B209A">
        <w:t>d’action</w:t>
      </w:r>
      <w:proofErr w:type="gramEnd"/>
      <w:r w:rsidRPr="002B209A">
        <w:t> ? Quels conseils doit-</w:t>
      </w:r>
      <w:r w:rsidR="00824354" w:rsidRPr="002B209A">
        <w:t>on donner lors de sa délivrance ?</w:t>
      </w:r>
    </w:p>
    <w:p w14:paraId="5EDDE22D" w14:textId="2B91A2E6" w:rsidR="00E66111" w:rsidRPr="002B209A" w:rsidRDefault="00E66111" w:rsidP="00B26914">
      <w:pPr>
        <w:jc w:val="both"/>
      </w:pPr>
      <w:r w:rsidRPr="002B209A">
        <w:t>Six mois après l’établissement du diagnostic de PR et la mise en place du traitement de 1</w:t>
      </w:r>
      <w:r w:rsidRPr="002B209A">
        <w:rPr>
          <w:vertAlign w:val="superscript"/>
        </w:rPr>
        <w:t>ère</w:t>
      </w:r>
      <w:r w:rsidRPr="002B209A">
        <w:t xml:space="preserve"> ligne, Véronique se plaint de nouveau de douleurs articulaires sévères la gênant dans ses activités quotidiennes. Le médecin décide de modifier le traitement en cours et d’y ajouter un anticorps monoclonal thérapeutique.</w:t>
      </w:r>
    </w:p>
    <w:p w14:paraId="6A7B1435" w14:textId="7D3BDF1E" w:rsidR="00824354" w:rsidRPr="002B209A" w:rsidRDefault="00824354" w:rsidP="00B26914">
      <w:pPr>
        <w:jc w:val="both"/>
      </w:pPr>
      <w:r w:rsidRPr="002B209A">
        <w:rPr>
          <w:b/>
          <w:bCs/>
        </w:rPr>
        <w:t xml:space="preserve">Question </w:t>
      </w:r>
      <w:r w:rsidR="00E66111" w:rsidRPr="002B209A">
        <w:rPr>
          <w:b/>
          <w:bCs/>
        </w:rPr>
        <w:t>5</w:t>
      </w:r>
      <w:r w:rsidRPr="002B209A">
        <w:t xml:space="preserve"> : </w:t>
      </w:r>
      <w:r w:rsidR="00E66111" w:rsidRPr="002B209A">
        <w:t>Q</w:t>
      </w:r>
      <w:r w:rsidRPr="002B209A">
        <w:t xml:space="preserve">uels sont les anticorps thérapeutiques qui possèdent une autorisation de mise sur le marché dans cette indication </w:t>
      </w:r>
      <w:r w:rsidR="00DF1FA1">
        <w:t xml:space="preserve">(cibles et DCI) </w:t>
      </w:r>
      <w:r w:rsidRPr="002B209A">
        <w:t xml:space="preserve">? </w:t>
      </w:r>
      <w:r w:rsidR="00E66111" w:rsidRPr="002B209A">
        <w:t>En quoi consiste</w:t>
      </w:r>
      <w:r w:rsidRPr="002B209A">
        <w:t xml:space="preserve"> le suivi </w:t>
      </w:r>
      <w:r w:rsidR="00E66111" w:rsidRPr="002B209A">
        <w:t xml:space="preserve">thérapeutique </w:t>
      </w:r>
      <w:r w:rsidRPr="002B209A">
        <w:t>pharmacologique des patients pour ce type de traitement ?</w:t>
      </w:r>
      <w:r w:rsidR="00E66111" w:rsidRPr="002B209A">
        <w:t xml:space="preserve"> Quel en est l’intérêt ?</w:t>
      </w:r>
    </w:p>
    <w:p w14:paraId="17305F4E" w14:textId="35C4E7C9" w:rsidR="00824354" w:rsidRDefault="00824354" w:rsidP="00B26914">
      <w:pPr>
        <w:jc w:val="both"/>
        <w:rPr>
          <w:sz w:val="24"/>
          <w:szCs w:val="24"/>
        </w:rPr>
      </w:pPr>
    </w:p>
    <w:p w14:paraId="5DFCE98D" w14:textId="4AA68D18" w:rsidR="00824354" w:rsidRDefault="00824354" w:rsidP="00824354">
      <w:pPr>
        <w:jc w:val="center"/>
        <w:rPr>
          <w:b/>
          <w:bCs/>
          <w:sz w:val="28"/>
          <w:szCs w:val="28"/>
        </w:rPr>
      </w:pPr>
      <w:r>
        <w:rPr>
          <w:sz w:val="24"/>
          <w:szCs w:val="24"/>
        </w:rPr>
        <w:br w:type="column"/>
      </w:r>
      <w:r>
        <w:rPr>
          <w:b/>
          <w:bCs/>
          <w:sz w:val="28"/>
          <w:szCs w:val="28"/>
        </w:rPr>
        <w:lastRenderedPageBreak/>
        <w:t xml:space="preserve">GRILLE D’EVALUATION SUR </w:t>
      </w:r>
      <w:r w:rsidR="00D50F8B">
        <w:rPr>
          <w:b/>
          <w:bCs/>
          <w:sz w:val="28"/>
          <w:szCs w:val="28"/>
        </w:rPr>
        <w:t>6</w:t>
      </w:r>
      <w:r>
        <w:rPr>
          <w:b/>
          <w:bCs/>
          <w:sz w:val="28"/>
          <w:szCs w:val="28"/>
        </w:rPr>
        <w:t>0 POINTS</w:t>
      </w:r>
    </w:p>
    <w:p w14:paraId="13E38DE1" w14:textId="1BC6A14B" w:rsidR="00824354" w:rsidRDefault="00824354" w:rsidP="00824354">
      <w:pPr>
        <w:rPr>
          <w:sz w:val="28"/>
          <w:szCs w:val="28"/>
        </w:rPr>
      </w:pPr>
    </w:p>
    <w:p w14:paraId="6AF1C643" w14:textId="5F55093F" w:rsidR="00F356B3" w:rsidRPr="001D1676" w:rsidRDefault="00824354" w:rsidP="008E1CBE">
      <w:r w:rsidRPr="001D1676">
        <w:rPr>
          <w:b/>
          <w:bCs/>
        </w:rPr>
        <w:t xml:space="preserve">Question </w:t>
      </w:r>
      <w:r w:rsidR="008E1CBE" w:rsidRPr="001D1676">
        <w:rPr>
          <w:b/>
          <w:bCs/>
        </w:rPr>
        <w:t>1</w:t>
      </w:r>
      <w:r w:rsidRPr="001D1676">
        <w:rPr>
          <w:b/>
          <w:bCs/>
        </w:rPr>
        <w:t xml:space="preserve"> </w:t>
      </w:r>
      <w:r w:rsidRPr="004E624D">
        <w:rPr>
          <w:b/>
          <w:bCs/>
          <w:color w:val="FF0000"/>
        </w:rPr>
        <w:t>(</w:t>
      </w:r>
      <w:r w:rsidR="004E624D" w:rsidRPr="004E624D">
        <w:rPr>
          <w:b/>
          <w:bCs/>
          <w:color w:val="FF0000"/>
        </w:rPr>
        <w:t>17</w:t>
      </w:r>
      <w:r w:rsidRPr="004E624D">
        <w:rPr>
          <w:b/>
          <w:bCs/>
          <w:color w:val="FF0000"/>
        </w:rPr>
        <w:t xml:space="preserve"> points)</w:t>
      </w:r>
    </w:p>
    <w:p w14:paraId="0BA7B018" w14:textId="206542E8" w:rsidR="00824354" w:rsidRPr="001D1676" w:rsidRDefault="00824354" w:rsidP="00824354">
      <w:pPr>
        <w:pStyle w:val="Paragraphedeliste"/>
        <w:numPr>
          <w:ilvl w:val="0"/>
          <w:numId w:val="1"/>
        </w:numPr>
      </w:pPr>
      <w:r w:rsidRPr="001D1676">
        <w:t xml:space="preserve">Facteur </w:t>
      </w:r>
      <w:r w:rsidR="00000B3B">
        <w:t>r</w:t>
      </w:r>
      <w:r w:rsidRPr="001D1676">
        <w:t>humatoïde</w:t>
      </w:r>
      <w:r w:rsidR="00000B3B">
        <w:t xml:space="preserve"> </w:t>
      </w:r>
      <w:r w:rsidRPr="001D1676">
        <w:t xml:space="preserve">: </w:t>
      </w:r>
      <w:r w:rsidR="00000B3B">
        <w:rPr>
          <w:color w:val="FF0000"/>
        </w:rPr>
        <w:t>2</w:t>
      </w:r>
    </w:p>
    <w:p w14:paraId="2EA1115B" w14:textId="5C5F0410" w:rsidR="00F356B3" w:rsidRPr="001D1676" w:rsidRDefault="00F356B3" w:rsidP="00F356B3">
      <w:pPr>
        <w:pStyle w:val="Paragraphedeliste"/>
        <w:numPr>
          <w:ilvl w:val="0"/>
          <w:numId w:val="2"/>
        </w:numPr>
      </w:pPr>
      <w:r w:rsidRPr="001D1676">
        <w:t>A</w:t>
      </w:r>
      <w:r w:rsidR="00000B3B">
        <w:t xml:space="preserve">utoanticorps spécifique du fragment </w:t>
      </w:r>
      <w:proofErr w:type="spellStart"/>
      <w:r w:rsidR="008E1CBE" w:rsidRPr="001D1676">
        <w:t>Fc</w:t>
      </w:r>
      <w:proofErr w:type="spellEnd"/>
      <w:r w:rsidR="008E1CBE" w:rsidRPr="001D1676">
        <w:t xml:space="preserve"> d’</w:t>
      </w:r>
      <w:r w:rsidRPr="001D1676">
        <w:t xml:space="preserve">IgG </w:t>
      </w:r>
      <w:r w:rsidR="004E624D">
        <w:rPr>
          <w:color w:val="FF0000"/>
        </w:rPr>
        <w:t>2</w:t>
      </w:r>
    </w:p>
    <w:p w14:paraId="48639323" w14:textId="3CDDFEDA" w:rsidR="00F356B3" w:rsidRPr="001D1676" w:rsidRDefault="00F356B3" w:rsidP="00F356B3">
      <w:pPr>
        <w:pStyle w:val="Paragraphedeliste"/>
        <w:numPr>
          <w:ilvl w:val="0"/>
          <w:numId w:val="2"/>
        </w:numPr>
      </w:pPr>
      <w:proofErr w:type="spellStart"/>
      <w:r w:rsidRPr="001D1676">
        <w:t>Ac</w:t>
      </w:r>
      <w:proofErr w:type="spellEnd"/>
      <w:r w:rsidRPr="001D1676">
        <w:t xml:space="preserve"> de classe IgM </w:t>
      </w:r>
      <w:r w:rsidR="008E1CBE" w:rsidRPr="001D1676">
        <w:t>majoritairement retrouvé dans cette pathologie</w:t>
      </w:r>
      <w:r w:rsidR="008E1CBE" w:rsidRPr="001D1676">
        <w:rPr>
          <w:color w:val="FF0000"/>
        </w:rPr>
        <w:t xml:space="preserve"> </w:t>
      </w:r>
      <w:r w:rsidRPr="001D1676">
        <w:rPr>
          <w:color w:val="FF0000"/>
        </w:rPr>
        <w:t>1</w:t>
      </w:r>
    </w:p>
    <w:p w14:paraId="669F475F" w14:textId="1337BF8E" w:rsidR="00F356B3" w:rsidRPr="001D1676" w:rsidRDefault="00F356B3" w:rsidP="00F356B3">
      <w:pPr>
        <w:pStyle w:val="Paragraphedeliste"/>
        <w:numPr>
          <w:ilvl w:val="0"/>
          <w:numId w:val="2"/>
        </w:numPr>
      </w:pPr>
      <w:r w:rsidRPr="001D1676">
        <w:t>Marqueur non spécifique (présent dans d’aut</w:t>
      </w:r>
      <w:r w:rsidR="00DF1FA1" w:rsidRPr="001D1676">
        <w:t xml:space="preserve">res MAI mais aussi infections…) </w:t>
      </w:r>
      <w:r w:rsidR="00DF1FA1" w:rsidRPr="001D1676">
        <w:rPr>
          <w:color w:val="FF0000"/>
        </w:rPr>
        <w:t>2</w:t>
      </w:r>
    </w:p>
    <w:p w14:paraId="3E7DBD6E" w14:textId="2F3F951F" w:rsidR="00F356B3" w:rsidRPr="001D1676" w:rsidRDefault="00F356B3" w:rsidP="00F356B3">
      <w:pPr>
        <w:pStyle w:val="Paragraphedeliste"/>
        <w:numPr>
          <w:ilvl w:val="0"/>
          <w:numId w:val="2"/>
        </w:numPr>
      </w:pPr>
      <w:r w:rsidRPr="001D1676">
        <w:t xml:space="preserve">Peu précocement positif (manque de sensibilité dans les formes débutantes de PR) </w:t>
      </w:r>
      <w:r w:rsidRPr="001D1676">
        <w:rPr>
          <w:color w:val="FF0000"/>
        </w:rPr>
        <w:t>1</w:t>
      </w:r>
    </w:p>
    <w:p w14:paraId="4F08310B" w14:textId="35488893" w:rsidR="00F356B3" w:rsidRPr="001D1676" w:rsidRDefault="00F356B3" w:rsidP="00F356B3">
      <w:pPr>
        <w:pStyle w:val="Paragraphedeliste"/>
        <w:numPr>
          <w:ilvl w:val="0"/>
          <w:numId w:val="2"/>
        </w:numPr>
      </w:pPr>
      <w:r w:rsidRPr="001D1676">
        <w:t xml:space="preserve">Marqueur de mauvais pronostic articulaire quand le titre est élevé </w:t>
      </w:r>
      <w:r w:rsidRPr="001D1676">
        <w:rPr>
          <w:color w:val="FF0000"/>
        </w:rPr>
        <w:t>1</w:t>
      </w:r>
      <w:r w:rsidRPr="001D1676">
        <w:t xml:space="preserve"> </w:t>
      </w:r>
    </w:p>
    <w:p w14:paraId="73547704" w14:textId="77777777" w:rsidR="00F356B3" w:rsidRPr="001D1676" w:rsidRDefault="00F356B3" w:rsidP="00F356B3">
      <w:pPr>
        <w:pStyle w:val="Paragraphedeliste"/>
        <w:ind w:left="1776"/>
      </w:pPr>
    </w:p>
    <w:p w14:paraId="2BCE5384" w14:textId="177AAF51" w:rsidR="00824354" w:rsidRPr="001D1676" w:rsidRDefault="00824354" w:rsidP="00824354">
      <w:pPr>
        <w:pStyle w:val="Paragraphedeliste"/>
        <w:numPr>
          <w:ilvl w:val="0"/>
          <w:numId w:val="1"/>
        </w:numPr>
      </w:pPr>
      <w:r w:rsidRPr="001D1676">
        <w:t>A</w:t>
      </w:r>
      <w:r w:rsidR="00000B3B">
        <w:t xml:space="preserve">nticorps </w:t>
      </w:r>
      <w:r w:rsidRPr="001D1676">
        <w:t xml:space="preserve">anti-protéines </w:t>
      </w:r>
      <w:proofErr w:type="spellStart"/>
      <w:r w:rsidRPr="001D1676">
        <w:t>citrullinées</w:t>
      </w:r>
      <w:proofErr w:type="spellEnd"/>
      <w:r w:rsidRPr="001D1676">
        <w:t xml:space="preserve"> </w:t>
      </w:r>
      <w:r w:rsidR="00000B3B">
        <w:t xml:space="preserve">(ou anti-peptides cycliques </w:t>
      </w:r>
      <w:proofErr w:type="spellStart"/>
      <w:r w:rsidR="00000B3B">
        <w:t>citrullinés</w:t>
      </w:r>
      <w:proofErr w:type="spellEnd"/>
      <w:r w:rsidR="00000B3B">
        <w:t>, anti-CCP)</w:t>
      </w:r>
      <w:r w:rsidR="001F557C">
        <w:t xml:space="preserve"> </w:t>
      </w:r>
      <w:r w:rsidRPr="001D1676">
        <w:t xml:space="preserve">: </w:t>
      </w:r>
      <w:r w:rsidR="001F557C">
        <w:rPr>
          <w:color w:val="FF0000"/>
        </w:rPr>
        <w:t>3</w:t>
      </w:r>
    </w:p>
    <w:p w14:paraId="7D15919E" w14:textId="3935C53D" w:rsidR="00F356B3" w:rsidRPr="001D1676" w:rsidRDefault="00F356B3" w:rsidP="00F356B3">
      <w:pPr>
        <w:pStyle w:val="Paragraphedeliste"/>
        <w:numPr>
          <w:ilvl w:val="0"/>
          <w:numId w:val="2"/>
        </w:numPr>
      </w:pPr>
      <w:r w:rsidRPr="001D1676">
        <w:t xml:space="preserve">Marqueur spécifique de </w:t>
      </w:r>
      <w:r w:rsidR="002B209A" w:rsidRPr="001D1676">
        <w:t xml:space="preserve">la </w:t>
      </w:r>
      <w:r w:rsidRPr="001D1676">
        <w:t xml:space="preserve">PR (marqueur diagnostique) </w:t>
      </w:r>
      <w:r w:rsidRPr="001D1676">
        <w:rPr>
          <w:color w:val="FF0000"/>
        </w:rPr>
        <w:t>2</w:t>
      </w:r>
    </w:p>
    <w:p w14:paraId="017D8404" w14:textId="7531C01D" w:rsidR="00F356B3" w:rsidRPr="001D1676" w:rsidRDefault="00F356B3" w:rsidP="00F356B3">
      <w:pPr>
        <w:pStyle w:val="Paragraphedeliste"/>
        <w:numPr>
          <w:ilvl w:val="0"/>
          <w:numId w:val="2"/>
        </w:numPr>
      </w:pPr>
      <w:r w:rsidRPr="001D1676">
        <w:t>Marqueur de mauvais pronostic articulaire</w:t>
      </w:r>
      <w:r w:rsidR="00000B3B">
        <w:t>, notamment quand le titre est élevé</w:t>
      </w:r>
      <w:r w:rsidRPr="001D1676">
        <w:t xml:space="preserve"> </w:t>
      </w:r>
      <w:r w:rsidRPr="001D1676">
        <w:rPr>
          <w:color w:val="FF0000"/>
        </w:rPr>
        <w:t>2</w:t>
      </w:r>
    </w:p>
    <w:p w14:paraId="564B1F20" w14:textId="1EB8F118" w:rsidR="00F356B3" w:rsidRPr="001D1676" w:rsidRDefault="00F356B3" w:rsidP="00F356B3">
      <w:pPr>
        <w:pStyle w:val="Paragraphedeliste"/>
        <w:numPr>
          <w:ilvl w:val="0"/>
          <w:numId w:val="2"/>
        </w:numPr>
      </w:pPr>
      <w:r w:rsidRPr="001D1676">
        <w:t xml:space="preserve">Marqueur </w:t>
      </w:r>
      <w:proofErr w:type="spellStart"/>
      <w:r w:rsidR="002B209A" w:rsidRPr="001D1676">
        <w:t>précocément</w:t>
      </w:r>
      <w:proofErr w:type="spellEnd"/>
      <w:r w:rsidR="002B209A" w:rsidRPr="001D1676">
        <w:t xml:space="preserve"> positif</w:t>
      </w:r>
      <w:r w:rsidR="00000B3B">
        <w:t>, parfois même avant l’apparition des signes cliniques</w:t>
      </w:r>
      <w:r w:rsidRPr="001D1676">
        <w:t xml:space="preserve"> </w:t>
      </w:r>
      <w:r w:rsidRPr="001D1676">
        <w:rPr>
          <w:color w:val="FF0000"/>
        </w:rPr>
        <w:t>1</w:t>
      </w:r>
    </w:p>
    <w:p w14:paraId="45C495AE" w14:textId="77777777" w:rsidR="00DF1FA1" w:rsidRPr="001D1676" w:rsidRDefault="00DF1FA1" w:rsidP="00DF1FA1">
      <w:pPr>
        <w:pStyle w:val="Paragraphedeliste"/>
        <w:ind w:left="1776"/>
      </w:pPr>
    </w:p>
    <w:p w14:paraId="30BCC404" w14:textId="46D9964E" w:rsidR="00DF1FA1" w:rsidRPr="001D1676" w:rsidRDefault="00000B3B" w:rsidP="00DF1FA1">
      <w:pPr>
        <w:pStyle w:val="Paragraphedeliste"/>
        <w:numPr>
          <w:ilvl w:val="0"/>
          <w:numId w:val="1"/>
        </w:numPr>
      </w:pPr>
      <w:r>
        <w:t>Dans le cas de Véronique, l</w:t>
      </w:r>
      <w:r w:rsidR="00DF1FA1" w:rsidRPr="001D1676">
        <w:t xml:space="preserve">a présence de titres élevés d’Ac anti-protéines </w:t>
      </w:r>
      <w:proofErr w:type="spellStart"/>
      <w:r w:rsidR="00DF1FA1" w:rsidRPr="001D1676">
        <w:t>citrullinées</w:t>
      </w:r>
      <w:proofErr w:type="spellEnd"/>
      <w:r w:rsidR="00DF1FA1" w:rsidRPr="001D1676">
        <w:t xml:space="preserve"> et de facteur </w:t>
      </w:r>
      <w:proofErr w:type="spellStart"/>
      <w:r w:rsidR="00DF1FA1" w:rsidRPr="001D1676">
        <w:t>rhumatoide</w:t>
      </w:r>
      <w:proofErr w:type="spellEnd"/>
      <w:r w:rsidR="00DF1FA1" w:rsidRPr="001D1676">
        <w:t xml:space="preserve"> est en faveur </w:t>
      </w:r>
      <w:proofErr w:type="gramStart"/>
      <w:r w:rsidR="00DF1FA1" w:rsidRPr="001D1676">
        <w:t>d’une PR</w:t>
      </w:r>
      <w:proofErr w:type="gramEnd"/>
      <w:r w:rsidR="00DF1FA1" w:rsidRPr="001D1676">
        <w:t xml:space="preserve"> sévère </w:t>
      </w:r>
      <w:r>
        <w:t>de</w:t>
      </w:r>
      <w:r w:rsidR="00DF1FA1" w:rsidRPr="001D1676">
        <w:t xml:space="preserve"> mauvais pronostic articulaire </w:t>
      </w:r>
      <w:r w:rsidR="00DF1FA1" w:rsidRPr="001D1676">
        <w:rPr>
          <w:color w:val="FF0000"/>
        </w:rPr>
        <w:t>2</w:t>
      </w:r>
    </w:p>
    <w:p w14:paraId="55E3ABC9" w14:textId="076FD36F" w:rsidR="008E1CBE" w:rsidRPr="001D1676" w:rsidRDefault="008E1CBE" w:rsidP="008E1CBE"/>
    <w:p w14:paraId="7C018D05" w14:textId="1B5A2A70" w:rsidR="008E1CBE" w:rsidRPr="001D1676" w:rsidRDefault="008E1CBE" w:rsidP="008E1CBE">
      <w:pPr>
        <w:rPr>
          <w:b/>
          <w:bCs/>
        </w:rPr>
      </w:pPr>
      <w:r w:rsidRPr="001D1676">
        <w:rPr>
          <w:b/>
          <w:bCs/>
        </w:rPr>
        <w:t>Question 2</w:t>
      </w:r>
      <w:r w:rsidR="004E624D">
        <w:rPr>
          <w:b/>
          <w:bCs/>
        </w:rPr>
        <w:t> </w:t>
      </w:r>
      <w:r w:rsidR="004E624D" w:rsidRPr="004E624D">
        <w:rPr>
          <w:b/>
          <w:bCs/>
          <w:color w:val="FF0000"/>
        </w:rPr>
        <w:t>(11</w:t>
      </w:r>
      <w:r w:rsidRPr="004E624D">
        <w:rPr>
          <w:b/>
          <w:bCs/>
          <w:color w:val="FF0000"/>
        </w:rPr>
        <w:t xml:space="preserve"> points)</w:t>
      </w:r>
    </w:p>
    <w:p w14:paraId="628BF904" w14:textId="5B26B84D" w:rsidR="008E1CBE" w:rsidRPr="001D1676" w:rsidRDefault="008E1CBE" w:rsidP="008E1CBE">
      <w:pPr>
        <w:pStyle w:val="Paragraphedeliste"/>
        <w:numPr>
          <w:ilvl w:val="0"/>
          <w:numId w:val="1"/>
        </w:numPr>
      </w:pPr>
      <w:r w:rsidRPr="001D1676">
        <w:t>Age de la patiente (autour de la 50aine)</w:t>
      </w:r>
      <w:r w:rsidR="002B209A" w:rsidRPr="001D1676">
        <w:t> / lupus</w:t>
      </w:r>
      <w:r w:rsidR="00DF1FA1" w:rsidRPr="001D1676">
        <w:t xml:space="preserve">, femme </w:t>
      </w:r>
      <w:r w:rsidR="002B209A" w:rsidRPr="001D1676">
        <w:t>jeune</w:t>
      </w:r>
      <w:r w:rsidRPr="001D1676">
        <w:t> </w:t>
      </w:r>
      <w:r w:rsidR="002B209A" w:rsidRPr="001D1676">
        <w:t>(pic au diagnostic 20-30 ans</w:t>
      </w:r>
      <w:proofErr w:type="gramStart"/>
      <w:r w:rsidR="002B209A" w:rsidRPr="001D1676">
        <w:t>)</w:t>
      </w:r>
      <w:r w:rsidRPr="001D1676">
        <w:t>:</w:t>
      </w:r>
      <w:proofErr w:type="gramEnd"/>
      <w:r w:rsidRPr="001D1676">
        <w:t xml:space="preserve"> </w:t>
      </w:r>
      <w:r w:rsidRPr="001D1676">
        <w:rPr>
          <w:color w:val="FF0000"/>
        </w:rPr>
        <w:t>1</w:t>
      </w:r>
    </w:p>
    <w:p w14:paraId="2EDD0691" w14:textId="77777777" w:rsidR="008E1CBE" w:rsidRPr="001D1676" w:rsidRDefault="008E1CBE" w:rsidP="008E1CBE">
      <w:pPr>
        <w:pStyle w:val="Paragraphedeliste"/>
        <w:numPr>
          <w:ilvl w:val="0"/>
          <w:numId w:val="1"/>
        </w:numPr>
      </w:pPr>
      <w:r w:rsidRPr="001D1676">
        <w:t xml:space="preserve">Atteintes articulaires des mains : </w:t>
      </w:r>
      <w:r w:rsidRPr="001D1676">
        <w:rPr>
          <w:color w:val="FF0000"/>
        </w:rPr>
        <w:t>1</w:t>
      </w:r>
    </w:p>
    <w:p w14:paraId="7051A2AB" w14:textId="4F5D2A9B" w:rsidR="008E1CBE" w:rsidRPr="001D1676" w:rsidRDefault="008E1CBE" w:rsidP="008E1CBE">
      <w:pPr>
        <w:pStyle w:val="Paragraphedeliste"/>
        <w:numPr>
          <w:ilvl w:val="0"/>
          <w:numId w:val="1"/>
        </w:numPr>
      </w:pPr>
      <w:r w:rsidRPr="001D1676">
        <w:t xml:space="preserve">Symétrie de l’atteinte articulaire : </w:t>
      </w:r>
      <w:r w:rsidRPr="001D1676">
        <w:rPr>
          <w:color w:val="FF0000"/>
        </w:rPr>
        <w:t>1</w:t>
      </w:r>
    </w:p>
    <w:p w14:paraId="06DA6A98" w14:textId="23FAF085" w:rsidR="008E1CBE" w:rsidRPr="001D1676" w:rsidRDefault="008E1CBE" w:rsidP="008E1CBE">
      <w:pPr>
        <w:pStyle w:val="Paragraphedeliste"/>
        <w:numPr>
          <w:ilvl w:val="0"/>
          <w:numId w:val="1"/>
        </w:numPr>
        <w:rPr>
          <w:color w:val="FF0000"/>
        </w:rPr>
      </w:pPr>
      <w:r w:rsidRPr="001D1676">
        <w:t xml:space="preserve">Long dérouillage matinal : </w:t>
      </w:r>
      <w:r w:rsidR="004E624D">
        <w:rPr>
          <w:color w:val="FF0000"/>
        </w:rPr>
        <w:t>2</w:t>
      </w:r>
    </w:p>
    <w:p w14:paraId="0437EF10" w14:textId="1A163373" w:rsidR="008E1CBE" w:rsidRPr="001D1676" w:rsidRDefault="008E1CBE" w:rsidP="008E1CBE">
      <w:pPr>
        <w:pStyle w:val="Paragraphedeliste"/>
        <w:numPr>
          <w:ilvl w:val="0"/>
          <w:numId w:val="1"/>
        </w:numPr>
      </w:pPr>
      <w:r w:rsidRPr="001D1676">
        <w:t xml:space="preserve">Durée de l’atteinte articulaire (2 mois ; &gt; 6 semaines) : </w:t>
      </w:r>
      <w:r w:rsidR="004E624D">
        <w:rPr>
          <w:color w:val="FF0000"/>
        </w:rPr>
        <w:t>2</w:t>
      </w:r>
    </w:p>
    <w:p w14:paraId="1DD95818" w14:textId="0D6C7BB1" w:rsidR="002B209A" w:rsidRPr="001D1676" w:rsidRDefault="008E1CBE" w:rsidP="008E1CBE">
      <w:pPr>
        <w:pStyle w:val="Paragraphedeliste"/>
        <w:numPr>
          <w:ilvl w:val="0"/>
          <w:numId w:val="1"/>
        </w:numPr>
      </w:pPr>
      <w:r w:rsidRPr="001D1676">
        <w:t xml:space="preserve">Syndrome inflammatoire avec élévation </w:t>
      </w:r>
      <w:r w:rsidR="002B209A" w:rsidRPr="001D1676">
        <w:t>des 2 marqueurs d’inflammation (</w:t>
      </w:r>
      <w:r w:rsidRPr="001D1676">
        <w:t>VS et CRP</w:t>
      </w:r>
      <w:r w:rsidR="002B209A" w:rsidRPr="001D1676">
        <w:t>) alors que dans le lupus la CRP est quasi normale au moment des poussées</w:t>
      </w:r>
      <w:r w:rsidR="00DF1FA1" w:rsidRPr="001D1676">
        <w:t xml:space="preserve"> </w:t>
      </w:r>
      <w:r w:rsidR="00DF1FA1" w:rsidRPr="001D1676">
        <w:rPr>
          <w:color w:val="FF0000"/>
        </w:rPr>
        <w:t>1</w:t>
      </w:r>
    </w:p>
    <w:p w14:paraId="4619381A" w14:textId="0CAE4B11" w:rsidR="008E1CBE" w:rsidRPr="001D1676" w:rsidRDefault="002B209A" w:rsidP="008E1CBE">
      <w:pPr>
        <w:pStyle w:val="Paragraphedeliste"/>
        <w:numPr>
          <w:ilvl w:val="0"/>
          <w:numId w:val="1"/>
        </w:numPr>
      </w:pPr>
      <w:r w:rsidRPr="001D1676">
        <w:t xml:space="preserve"> A</w:t>
      </w:r>
      <w:r w:rsidR="008E1CBE" w:rsidRPr="001D1676">
        <w:t xml:space="preserve">bsence d’anticorps antinucléaires </w:t>
      </w:r>
      <w:r w:rsidRPr="001D1676">
        <w:t>(AAN) alors que les AAN sont systématiquement positifs dans le lupus</w:t>
      </w:r>
      <w:r w:rsidR="001F557C">
        <w:t xml:space="preserve"> (PR 1/3 des cas)</w:t>
      </w:r>
      <w:r w:rsidR="00DF1FA1" w:rsidRPr="001D1676">
        <w:t xml:space="preserve"> </w:t>
      </w:r>
      <w:r w:rsidR="00DF1FA1" w:rsidRPr="001D1676">
        <w:rPr>
          <w:color w:val="FF0000"/>
        </w:rPr>
        <w:t>1</w:t>
      </w:r>
    </w:p>
    <w:p w14:paraId="30B0C1C2" w14:textId="54C19019" w:rsidR="002B209A" w:rsidRPr="001D1676" w:rsidRDefault="002B209A" w:rsidP="008E1CBE">
      <w:pPr>
        <w:pStyle w:val="Paragraphedeliste"/>
        <w:numPr>
          <w:ilvl w:val="0"/>
          <w:numId w:val="1"/>
        </w:numPr>
      </w:pPr>
      <w:proofErr w:type="spellStart"/>
      <w:r w:rsidRPr="001D1676">
        <w:t>Ac</w:t>
      </w:r>
      <w:proofErr w:type="spellEnd"/>
      <w:r w:rsidRPr="001D1676">
        <w:t xml:space="preserve"> anti-protéine </w:t>
      </w:r>
      <w:proofErr w:type="spellStart"/>
      <w:r w:rsidRPr="001D1676">
        <w:t>citrullinées</w:t>
      </w:r>
      <w:proofErr w:type="spellEnd"/>
      <w:r w:rsidRPr="001D1676">
        <w:t xml:space="preserve"> positifs, marqueur spécifique de PR (marqueur diagnostique), absent dans le lupus</w:t>
      </w:r>
      <w:r w:rsidR="00DF1FA1" w:rsidRPr="001D1676">
        <w:t xml:space="preserve"> </w:t>
      </w:r>
      <w:r w:rsidR="00DF1FA1" w:rsidRPr="001D1676">
        <w:rPr>
          <w:color w:val="FF0000"/>
        </w:rPr>
        <w:t>2</w:t>
      </w:r>
    </w:p>
    <w:p w14:paraId="630AB395" w14:textId="62BD3935" w:rsidR="002B209A" w:rsidRDefault="002B209A" w:rsidP="00DF1FA1">
      <w:pPr>
        <w:pStyle w:val="Paragraphedeliste"/>
      </w:pPr>
    </w:p>
    <w:p w14:paraId="10487E99" w14:textId="77777777" w:rsidR="001D1676" w:rsidRPr="001D1676" w:rsidRDefault="001D1676" w:rsidP="00DF1FA1">
      <w:pPr>
        <w:pStyle w:val="Paragraphedeliste"/>
      </w:pPr>
    </w:p>
    <w:p w14:paraId="6C93C536" w14:textId="1A24744B" w:rsidR="008E1CBE" w:rsidRPr="001D1676" w:rsidRDefault="000A17B6" w:rsidP="008E1CBE">
      <w:r w:rsidRPr="001D1676">
        <w:rPr>
          <w:b/>
          <w:bCs/>
        </w:rPr>
        <w:t>Question 3</w:t>
      </w:r>
      <w:r w:rsidRPr="001D1676">
        <w:t xml:space="preserve"> </w:t>
      </w:r>
      <w:r w:rsidRPr="004E624D">
        <w:rPr>
          <w:b/>
          <w:bCs/>
          <w:color w:val="FF0000"/>
        </w:rPr>
        <w:t>(2 points)</w:t>
      </w:r>
    </w:p>
    <w:p w14:paraId="7CF74C4A" w14:textId="71C63038" w:rsidR="000A17B6" w:rsidRPr="001D1676" w:rsidRDefault="000A17B6" w:rsidP="000A17B6">
      <w:pPr>
        <w:pStyle w:val="Paragraphedeliste"/>
        <w:numPr>
          <w:ilvl w:val="0"/>
          <w:numId w:val="1"/>
        </w:numPr>
      </w:pPr>
      <w:r w:rsidRPr="001D1676">
        <w:t>Prednisone : traitement de la poussée inflammatoire</w:t>
      </w:r>
      <w:r w:rsidR="003E4780" w:rsidRPr="001D1676">
        <w:t xml:space="preserve"> </w:t>
      </w:r>
      <w:r w:rsidR="003E4780" w:rsidRPr="001D1676">
        <w:rPr>
          <w:color w:val="FF0000"/>
        </w:rPr>
        <w:t>1</w:t>
      </w:r>
    </w:p>
    <w:p w14:paraId="7E087718" w14:textId="5809066E" w:rsidR="000A17B6" w:rsidRPr="001D1676" w:rsidRDefault="000A17B6" w:rsidP="000A17B6">
      <w:pPr>
        <w:pStyle w:val="Paragraphedeliste"/>
        <w:numPr>
          <w:ilvl w:val="0"/>
          <w:numId w:val="1"/>
        </w:numPr>
      </w:pPr>
      <w:r w:rsidRPr="001D1676">
        <w:t>Méthotrexate : trait</w:t>
      </w:r>
      <w:r w:rsidR="003E4780" w:rsidRPr="001D1676">
        <w:t>e</w:t>
      </w:r>
      <w:r w:rsidRPr="001D1676">
        <w:t>ment d</w:t>
      </w:r>
      <w:r w:rsidR="003E4780" w:rsidRPr="001D1676">
        <w:t xml:space="preserve">e fond/entretien </w:t>
      </w:r>
      <w:r w:rsidR="003E4780" w:rsidRPr="001D1676">
        <w:rPr>
          <w:color w:val="FF0000"/>
        </w:rPr>
        <w:t>1</w:t>
      </w:r>
      <w:r w:rsidR="003E4780" w:rsidRPr="001D1676">
        <w:t xml:space="preserve"> </w:t>
      </w:r>
      <w:r w:rsidR="0046615C" w:rsidRPr="001D1676">
        <w:t xml:space="preserve"> </w:t>
      </w:r>
    </w:p>
    <w:p w14:paraId="1F82FA67" w14:textId="53730CD9" w:rsidR="001D1676" w:rsidRDefault="001D1676" w:rsidP="00824354"/>
    <w:p w14:paraId="7FC0BA38" w14:textId="1FB4EAEF" w:rsidR="001D1676" w:rsidRDefault="001D1676" w:rsidP="00824354"/>
    <w:p w14:paraId="1B82DD0F" w14:textId="482D6CFA" w:rsidR="001D1676" w:rsidRPr="001D1676" w:rsidRDefault="001D1676" w:rsidP="00824354"/>
    <w:p w14:paraId="07DA07B4" w14:textId="22D94B04" w:rsidR="00824354" w:rsidRPr="001D1676" w:rsidRDefault="00824354" w:rsidP="00824354">
      <w:pPr>
        <w:rPr>
          <w:b/>
          <w:bCs/>
        </w:rPr>
      </w:pPr>
      <w:r w:rsidRPr="001D1676">
        <w:rPr>
          <w:b/>
          <w:bCs/>
        </w:rPr>
        <w:t xml:space="preserve">Question </w:t>
      </w:r>
      <w:r w:rsidR="000A17B6" w:rsidRPr="001D1676">
        <w:rPr>
          <w:b/>
          <w:bCs/>
        </w:rPr>
        <w:t xml:space="preserve">4 </w:t>
      </w:r>
      <w:r w:rsidR="004E624D" w:rsidRPr="004E624D">
        <w:rPr>
          <w:b/>
          <w:bCs/>
          <w:color w:val="FF0000"/>
        </w:rPr>
        <w:t>(14</w:t>
      </w:r>
      <w:r w:rsidRPr="004E624D">
        <w:rPr>
          <w:b/>
          <w:bCs/>
          <w:color w:val="FF0000"/>
        </w:rPr>
        <w:t xml:space="preserve"> points)</w:t>
      </w:r>
    </w:p>
    <w:p w14:paraId="39A5E6D1" w14:textId="21494605" w:rsidR="00577410" w:rsidRPr="001D1676" w:rsidRDefault="00577410" w:rsidP="00824354">
      <w:r w:rsidRPr="001D1676">
        <w:t xml:space="preserve">Méthotrexate : </w:t>
      </w:r>
    </w:p>
    <w:p w14:paraId="08EC473C" w14:textId="3C51B3D5" w:rsidR="00577410" w:rsidRPr="001D1676" w:rsidRDefault="00577410" w:rsidP="00577410">
      <w:pPr>
        <w:pStyle w:val="Paragraphedeliste"/>
        <w:numPr>
          <w:ilvl w:val="0"/>
          <w:numId w:val="1"/>
        </w:numPr>
      </w:pPr>
      <w:r w:rsidRPr="001D1676">
        <w:t>Classe thérapeutique :</w:t>
      </w:r>
    </w:p>
    <w:p w14:paraId="2C65B945" w14:textId="3A441628" w:rsidR="00577410" w:rsidRPr="001D1676" w:rsidRDefault="00577410" w:rsidP="00577410">
      <w:pPr>
        <w:pStyle w:val="Paragraphedeliste"/>
        <w:numPr>
          <w:ilvl w:val="0"/>
          <w:numId w:val="2"/>
        </w:numPr>
      </w:pPr>
      <w:proofErr w:type="spellStart"/>
      <w:r w:rsidRPr="001D1676">
        <w:t>Anti-métabolites</w:t>
      </w:r>
      <w:proofErr w:type="spellEnd"/>
      <w:r w:rsidRPr="001D1676">
        <w:t xml:space="preserve">, analogue de l’acide folique </w:t>
      </w:r>
      <w:r w:rsidR="004E624D">
        <w:rPr>
          <w:color w:val="FF0000"/>
        </w:rPr>
        <w:t>3</w:t>
      </w:r>
    </w:p>
    <w:p w14:paraId="05D7521B" w14:textId="77777777" w:rsidR="00577410" w:rsidRPr="001D1676" w:rsidRDefault="00577410" w:rsidP="00577410">
      <w:pPr>
        <w:pStyle w:val="Paragraphedeliste"/>
        <w:ind w:left="1776"/>
      </w:pPr>
    </w:p>
    <w:p w14:paraId="1B33072A" w14:textId="307595F3" w:rsidR="00577410" w:rsidRPr="001D1676" w:rsidRDefault="00577410" w:rsidP="00577410">
      <w:pPr>
        <w:pStyle w:val="Paragraphedeliste"/>
        <w:numPr>
          <w:ilvl w:val="0"/>
          <w:numId w:val="1"/>
        </w:numPr>
      </w:pPr>
      <w:r w:rsidRPr="001D1676">
        <w:t>Mécanisme d’action :</w:t>
      </w:r>
    </w:p>
    <w:p w14:paraId="2A065156" w14:textId="692EC1CD" w:rsidR="00577410" w:rsidRPr="001D1676" w:rsidRDefault="00577410" w:rsidP="00577410">
      <w:pPr>
        <w:pStyle w:val="Paragraphedeliste"/>
        <w:numPr>
          <w:ilvl w:val="0"/>
          <w:numId w:val="2"/>
        </w:numPr>
      </w:pPr>
      <w:r w:rsidRPr="001D1676">
        <w:t xml:space="preserve">Inhibiteur compétitif de la dihydrofolate réductase (DHFR) </w:t>
      </w:r>
      <w:r w:rsidR="007C2EDE">
        <w:rPr>
          <w:color w:val="FF0000"/>
        </w:rPr>
        <w:t>3</w:t>
      </w:r>
    </w:p>
    <w:p w14:paraId="0FAA773F" w14:textId="1FA5A911" w:rsidR="00577410" w:rsidRPr="001D1676" w:rsidRDefault="00577410" w:rsidP="00577410">
      <w:pPr>
        <w:pStyle w:val="Paragraphedeliste"/>
        <w:numPr>
          <w:ilvl w:val="0"/>
          <w:numId w:val="2"/>
        </w:numPr>
      </w:pPr>
      <w:r w:rsidRPr="001D1676">
        <w:t xml:space="preserve">Blocage de la synthèse des bases puriques et </w:t>
      </w:r>
      <w:proofErr w:type="spellStart"/>
      <w:r w:rsidRPr="001D1676">
        <w:t>pyramidiques</w:t>
      </w:r>
      <w:proofErr w:type="spellEnd"/>
      <w:r w:rsidRPr="001D1676">
        <w:t xml:space="preserve"> </w:t>
      </w:r>
      <w:r w:rsidR="007C2EDE">
        <w:rPr>
          <w:color w:val="FF0000"/>
        </w:rPr>
        <w:t>2</w:t>
      </w:r>
    </w:p>
    <w:p w14:paraId="231CF062" w14:textId="781FCC6F" w:rsidR="00577410" w:rsidRPr="001D1676" w:rsidRDefault="00577410" w:rsidP="00577410">
      <w:pPr>
        <w:pStyle w:val="Paragraphedeliste"/>
        <w:numPr>
          <w:ilvl w:val="0"/>
          <w:numId w:val="2"/>
        </w:numPr>
      </w:pPr>
      <w:r w:rsidRPr="001D1676">
        <w:t xml:space="preserve">Blocage de </w:t>
      </w:r>
      <w:r w:rsidR="00DF1FA1" w:rsidRPr="001D1676">
        <w:t>la prolifération</w:t>
      </w:r>
      <w:r w:rsidRPr="001D1676">
        <w:t xml:space="preserve"> des lymphocytes activés </w:t>
      </w:r>
      <w:r w:rsidRPr="001D1676">
        <w:rPr>
          <w:color w:val="FF0000"/>
        </w:rPr>
        <w:t>1</w:t>
      </w:r>
    </w:p>
    <w:p w14:paraId="76F2A905" w14:textId="77777777" w:rsidR="00DF1FA1" w:rsidRPr="001D1676" w:rsidRDefault="00DF1FA1" w:rsidP="00DF1FA1">
      <w:pPr>
        <w:pStyle w:val="Paragraphedeliste"/>
        <w:ind w:left="1776"/>
      </w:pPr>
    </w:p>
    <w:p w14:paraId="70D5F6FE" w14:textId="380C3421" w:rsidR="00577410" w:rsidRPr="001D1676" w:rsidRDefault="00577410" w:rsidP="00577410">
      <w:pPr>
        <w:pStyle w:val="Paragraphedeliste"/>
        <w:numPr>
          <w:ilvl w:val="0"/>
          <w:numId w:val="1"/>
        </w:numPr>
      </w:pPr>
      <w:r w:rsidRPr="001D1676">
        <w:t xml:space="preserve">Conseils : </w:t>
      </w:r>
    </w:p>
    <w:p w14:paraId="02DDD4A2" w14:textId="50CC720F" w:rsidR="00577410" w:rsidRPr="001D1676" w:rsidRDefault="00577410" w:rsidP="00577410">
      <w:pPr>
        <w:pStyle w:val="Paragraphedeliste"/>
        <w:numPr>
          <w:ilvl w:val="0"/>
          <w:numId w:val="2"/>
        </w:numPr>
      </w:pPr>
      <w:r w:rsidRPr="001D1676">
        <w:t>1 prise hebdomadaire</w:t>
      </w:r>
      <w:r w:rsidR="00D50F8B" w:rsidRPr="001D1676">
        <w:t xml:space="preserve"> </w:t>
      </w:r>
      <w:r w:rsidR="00D50F8B" w:rsidRPr="001D1676">
        <w:rPr>
          <w:color w:val="FF0000"/>
        </w:rPr>
        <w:t>1</w:t>
      </w:r>
    </w:p>
    <w:p w14:paraId="680B7F4C" w14:textId="1FD5A73D" w:rsidR="00577410" w:rsidRPr="001D1676" w:rsidRDefault="00577410" w:rsidP="00577410">
      <w:pPr>
        <w:pStyle w:val="Paragraphedeliste"/>
        <w:numPr>
          <w:ilvl w:val="0"/>
          <w:numId w:val="2"/>
        </w:numPr>
      </w:pPr>
      <w:r w:rsidRPr="001D1676">
        <w:t>Supplémentation acide folique ou folinique pour limiter EI</w:t>
      </w:r>
      <w:r w:rsidR="00D50F8B" w:rsidRPr="001D1676">
        <w:t xml:space="preserve"> </w:t>
      </w:r>
      <w:r w:rsidR="001D1676" w:rsidRPr="001D1676">
        <w:rPr>
          <w:color w:val="FF0000"/>
        </w:rPr>
        <w:t>1</w:t>
      </w:r>
    </w:p>
    <w:p w14:paraId="1CC5B96A" w14:textId="1CD229CE" w:rsidR="00577410" w:rsidRPr="001D1676" w:rsidRDefault="00577410" w:rsidP="00577410">
      <w:pPr>
        <w:pStyle w:val="Paragraphedeliste"/>
        <w:numPr>
          <w:ilvl w:val="0"/>
          <w:numId w:val="2"/>
        </w:numPr>
      </w:pPr>
      <w:r w:rsidRPr="001D1676">
        <w:t>A prendre à distance du méthotrexate</w:t>
      </w:r>
      <w:r w:rsidR="001D1676" w:rsidRPr="001D1676">
        <w:t xml:space="preserve"> </w:t>
      </w:r>
      <w:r w:rsidR="001D1676" w:rsidRPr="001D1676">
        <w:rPr>
          <w:color w:val="FF0000"/>
        </w:rPr>
        <w:t>1</w:t>
      </w:r>
    </w:p>
    <w:p w14:paraId="31F8BA28" w14:textId="3737C870" w:rsidR="00577410" w:rsidRPr="001D1676" w:rsidRDefault="00577410" w:rsidP="00577410">
      <w:pPr>
        <w:pStyle w:val="Paragraphedeliste"/>
        <w:numPr>
          <w:ilvl w:val="0"/>
          <w:numId w:val="2"/>
        </w:numPr>
      </w:pPr>
      <w:r w:rsidRPr="001D1676">
        <w:t>Déterminer avec le patient et noter sur le feuillet et la boite le jour de prise du méthotrexate</w:t>
      </w:r>
      <w:r w:rsidR="00D50F8B" w:rsidRPr="001D1676">
        <w:t xml:space="preserve"> </w:t>
      </w:r>
      <w:r w:rsidR="001D1676" w:rsidRPr="001D1676">
        <w:rPr>
          <w:color w:val="FF0000"/>
        </w:rPr>
        <w:t>1</w:t>
      </w:r>
    </w:p>
    <w:p w14:paraId="35BA31ED" w14:textId="795FAEA4" w:rsidR="00577410" w:rsidRPr="001D1676" w:rsidRDefault="00D50F8B" w:rsidP="00577410">
      <w:pPr>
        <w:pStyle w:val="Paragraphedeliste"/>
        <w:numPr>
          <w:ilvl w:val="0"/>
          <w:numId w:val="2"/>
        </w:numPr>
      </w:pPr>
      <w:r w:rsidRPr="001D1676">
        <w:t xml:space="preserve">S’assurer que le patient a bien compris les modalités de prise </w:t>
      </w:r>
      <w:r w:rsidRPr="001D1676">
        <w:rPr>
          <w:color w:val="FF0000"/>
        </w:rPr>
        <w:t>1</w:t>
      </w:r>
    </w:p>
    <w:p w14:paraId="7D88CCE1" w14:textId="77777777" w:rsidR="00F356B3" w:rsidRPr="001D1676" w:rsidRDefault="00F356B3" w:rsidP="00824354"/>
    <w:p w14:paraId="0587D342" w14:textId="06458BD4" w:rsidR="00824354" w:rsidRPr="001D1676" w:rsidRDefault="004E624D" w:rsidP="00824354">
      <w:r>
        <w:rPr>
          <w:b/>
          <w:bCs/>
        </w:rPr>
        <w:t>Question 5</w:t>
      </w:r>
      <w:r w:rsidR="00824354" w:rsidRPr="001D1676">
        <w:rPr>
          <w:b/>
          <w:bCs/>
        </w:rPr>
        <w:t xml:space="preserve"> </w:t>
      </w:r>
      <w:r w:rsidR="00D50F8B" w:rsidRPr="004E624D">
        <w:rPr>
          <w:b/>
          <w:bCs/>
          <w:color w:val="FF0000"/>
        </w:rPr>
        <w:t>(</w:t>
      </w:r>
      <w:r w:rsidR="007C2EDE" w:rsidRPr="004E624D">
        <w:rPr>
          <w:b/>
          <w:bCs/>
          <w:color w:val="FF0000"/>
        </w:rPr>
        <w:t>16</w:t>
      </w:r>
      <w:r w:rsidR="00824354" w:rsidRPr="004E624D">
        <w:rPr>
          <w:b/>
          <w:bCs/>
          <w:color w:val="FF0000"/>
        </w:rPr>
        <w:t xml:space="preserve"> points)</w:t>
      </w:r>
    </w:p>
    <w:p w14:paraId="2DA812AE" w14:textId="4257687D" w:rsidR="00F356B3" w:rsidRPr="001D1676" w:rsidRDefault="00F356B3" w:rsidP="00F356B3">
      <w:pPr>
        <w:pStyle w:val="Paragraphedeliste"/>
        <w:numPr>
          <w:ilvl w:val="0"/>
          <w:numId w:val="1"/>
        </w:numPr>
      </w:pPr>
      <w:r w:rsidRPr="001D1676">
        <w:t>Les Anti-TNF</w:t>
      </w:r>
      <w:r w:rsidR="00577410" w:rsidRPr="001D1676">
        <w:rPr>
          <w:rFonts w:cstheme="minorHAnsi"/>
        </w:rPr>
        <w:t>α</w:t>
      </w:r>
      <w:r w:rsidR="00577410" w:rsidRPr="001D1676">
        <w:t xml:space="preserve"> </w:t>
      </w:r>
      <w:r w:rsidR="00577410" w:rsidRPr="001D1676">
        <w:rPr>
          <w:color w:val="FF0000"/>
        </w:rPr>
        <w:t>1.5</w:t>
      </w:r>
    </w:p>
    <w:p w14:paraId="1C69DB29" w14:textId="13D1C0E5" w:rsidR="00F356B3" w:rsidRPr="001D1676" w:rsidRDefault="00F356B3" w:rsidP="00F356B3">
      <w:pPr>
        <w:pStyle w:val="Paragraphedeliste"/>
        <w:numPr>
          <w:ilvl w:val="0"/>
          <w:numId w:val="2"/>
        </w:numPr>
      </w:pPr>
      <w:r w:rsidRPr="001D1676">
        <w:t>Infliximab</w:t>
      </w:r>
      <w:r w:rsidR="00577410" w:rsidRPr="001D1676">
        <w:t xml:space="preserve"> </w:t>
      </w:r>
      <w:r w:rsidR="00577410" w:rsidRPr="001D1676">
        <w:rPr>
          <w:color w:val="FF0000"/>
        </w:rPr>
        <w:t>0.5</w:t>
      </w:r>
    </w:p>
    <w:p w14:paraId="040FB5D1" w14:textId="62E82248" w:rsidR="00F356B3" w:rsidRPr="001D1676" w:rsidRDefault="00F356B3" w:rsidP="00577410">
      <w:pPr>
        <w:pStyle w:val="Paragraphedeliste"/>
        <w:numPr>
          <w:ilvl w:val="0"/>
          <w:numId w:val="2"/>
        </w:numPr>
      </w:pPr>
      <w:proofErr w:type="spellStart"/>
      <w:r w:rsidRPr="001D1676">
        <w:t>Adalimumab</w:t>
      </w:r>
      <w:proofErr w:type="spellEnd"/>
      <w:r w:rsidR="00577410" w:rsidRPr="001D1676">
        <w:t xml:space="preserve"> </w:t>
      </w:r>
      <w:r w:rsidR="00577410" w:rsidRPr="001D1676">
        <w:rPr>
          <w:color w:val="FF0000"/>
        </w:rPr>
        <w:t>0.5</w:t>
      </w:r>
    </w:p>
    <w:p w14:paraId="43EC3A85" w14:textId="7694EBDA" w:rsidR="00F356B3" w:rsidRPr="001D1676" w:rsidRDefault="00F356B3" w:rsidP="00577410">
      <w:pPr>
        <w:pStyle w:val="Paragraphedeliste"/>
        <w:numPr>
          <w:ilvl w:val="0"/>
          <w:numId w:val="2"/>
        </w:numPr>
      </w:pPr>
      <w:proofErr w:type="spellStart"/>
      <w:r w:rsidRPr="001D1676">
        <w:t>Certolizumab</w:t>
      </w:r>
      <w:proofErr w:type="spellEnd"/>
      <w:r w:rsidR="00577410" w:rsidRPr="001D1676">
        <w:t xml:space="preserve"> </w:t>
      </w:r>
      <w:r w:rsidR="00577410" w:rsidRPr="001D1676">
        <w:rPr>
          <w:color w:val="FF0000"/>
        </w:rPr>
        <w:t>0.5</w:t>
      </w:r>
    </w:p>
    <w:p w14:paraId="121722DB" w14:textId="451BDDF3" w:rsidR="00F356B3" w:rsidRPr="001D1676" w:rsidRDefault="00F356B3" w:rsidP="00577410">
      <w:pPr>
        <w:pStyle w:val="Paragraphedeliste"/>
        <w:numPr>
          <w:ilvl w:val="0"/>
          <w:numId w:val="2"/>
        </w:numPr>
      </w:pPr>
      <w:proofErr w:type="spellStart"/>
      <w:r w:rsidRPr="001D1676">
        <w:t>Golimumab</w:t>
      </w:r>
      <w:proofErr w:type="spellEnd"/>
      <w:r w:rsidR="00577410" w:rsidRPr="001D1676">
        <w:t xml:space="preserve"> </w:t>
      </w:r>
      <w:r w:rsidR="00577410" w:rsidRPr="001D1676">
        <w:rPr>
          <w:color w:val="FF0000"/>
        </w:rPr>
        <w:t>0.5</w:t>
      </w:r>
    </w:p>
    <w:p w14:paraId="591E8FF6" w14:textId="77777777" w:rsidR="00DF1FA1" w:rsidRPr="001D1676" w:rsidRDefault="00DF1FA1" w:rsidP="00DF1FA1">
      <w:pPr>
        <w:pStyle w:val="Paragraphedeliste"/>
        <w:ind w:left="1776"/>
      </w:pPr>
    </w:p>
    <w:p w14:paraId="4BEECD97" w14:textId="59771035" w:rsidR="00F356B3" w:rsidRPr="001D1676" w:rsidRDefault="00F356B3" w:rsidP="00F356B3">
      <w:pPr>
        <w:pStyle w:val="Paragraphedeliste"/>
        <w:numPr>
          <w:ilvl w:val="0"/>
          <w:numId w:val="1"/>
        </w:numPr>
      </w:pPr>
      <w:r w:rsidRPr="001D1676">
        <w:t>Les anti-récepteur de l’IL-6</w:t>
      </w:r>
      <w:r w:rsidR="00577410" w:rsidRPr="001D1676">
        <w:t xml:space="preserve"> </w:t>
      </w:r>
      <w:r w:rsidR="00577410" w:rsidRPr="001D1676">
        <w:rPr>
          <w:color w:val="FF0000"/>
        </w:rPr>
        <w:t>1.5</w:t>
      </w:r>
    </w:p>
    <w:p w14:paraId="7DE6DB28" w14:textId="00106914" w:rsidR="00577410" w:rsidRPr="001D1676" w:rsidRDefault="00577410" w:rsidP="00577410">
      <w:pPr>
        <w:pStyle w:val="Paragraphedeliste"/>
        <w:numPr>
          <w:ilvl w:val="0"/>
          <w:numId w:val="2"/>
        </w:numPr>
      </w:pPr>
      <w:r w:rsidRPr="001D1676">
        <w:t xml:space="preserve">Tocilizumab </w:t>
      </w:r>
      <w:r w:rsidRPr="001D1676">
        <w:rPr>
          <w:color w:val="FF0000"/>
        </w:rPr>
        <w:t>0.5</w:t>
      </w:r>
    </w:p>
    <w:p w14:paraId="6AC63A37" w14:textId="3F5795C1" w:rsidR="00577410" w:rsidRPr="001D1676" w:rsidRDefault="00577410" w:rsidP="00577410">
      <w:pPr>
        <w:pStyle w:val="Paragraphedeliste"/>
        <w:numPr>
          <w:ilvl w:val="0"/>
          <w:numId w:val="2"/>
        </w:numPr>
      </w:pPr>
      <w:r w:rsidRPr="001D1676">
        <w:t xml:space="preserve">Sarilumab </w:t>
      </w:r>
      <w:r w:rsidRPr="001D1676">
        <w:rPr>
          <w:color w:val="FF0000"/>
        </w:rPr>
        <w:t>0.5</w:t>
      </w:r>
    </w:p>
    <w:p w14:paraId="1E18F005" w14:textId="77777777" w:rsidR="00577410" w:rsidRPr="001D1676" w:rsidRDefault="00577410" w:rsidP="00577410">
      <w:pPr>
        <w:pStyle w:val="Paragraphedeliste"/>
        <w:ind w:left="1776"/>
      </w:pPr>
    </w:p>
    <w:p w14:paraId="0EF53D0D" w14:textId="1F44DFC9" w:rsidR="00577410" w:rsidRPr="001D1676" w:rsidRDefault="00577410" w:rsidP="00577410">
      <w:pPr>
        <w:pStyle w:val="Paragraphedeliste"/>
        <w:numPr>
          <w:ilvl w:val="0"/>
          <w:numId w:val="1"/>
        </w:numPr>
      </w:pPr>
      <w:r w:rsidRPr="001D1676">
        <w:t xml:space="preserve">Les anti-Lymphocytes B ou anti-CD20 </w:t>
      </w:r>
      <w:r w:rsidRPr="001D1676">
        <w:rPr>
          <w:color w:val="FF0000"/>
        </w:rPr>
        <w:t>1.5</w:t>
      </w:r>
    </w:p>
    <w:p w14:paraId="0D38133A" w14:textId="77777777" w:rsidR="00577410" w:rsidRPr="001D1676" w:rsidRDefault="00577410" w:rsidP="00577410">
      <w:pPr>
        <w:pStyle w:val="Paragraphedeliste"/>
        <w:numPr>
          <w:ilvl w:val="0"/>
          <w:numId w:val="2"/>
        </w:numPr>
      </w:pPr>
      <w:r w:rsidRPr="001D1676">
        <w:t xml:space="preserve">Rituximab </w:t>
      </w:r>
      <w:r w:rsidRPr="001D1676">
        <w:rPr>
          <w:color w:val="FF0000"/>
        </w:rPr>
        <w:t>0.5</w:t>
      </w:r>
    </w:p>
    <w:p w14:paraId="67A60CDD" w14:textId="3B4646E7" w:rsidR="00577410" w:rsidRPr="001D1676" w:rsidRDefault="00577410" w:rsidP="00577410"/>
    <w:p w14:paraId="20D7A0E6" w14:textId="56528032" w:rsidR="00577410" w:rsidRPr="001D1676" w:rsidRDefault="00DF1FA1" w:rsidP="00577410">
      <w:pPr>
        <w:pStyle w:val="Paragraphedeliste"/>
        <w:numPr>
          <w:ilvl w:val="0"/>
          <w:numId w:val="1"/>
        </w:numPr>
      </w:pPr>
      <w:r w:rsidRPr="001D1676">
        <w:t xml:space="preserve">Suivi thérapeutique pharmacologique : mesure des concentrations </w:t>
      </w:r>
      <w:r w:rsidR="00577410" w:rsidRPr="001D1676">
        <w:t>résiduel</w:t>
      </w:r>
      <w:r w:rsidRPr="001D1676">
        <w:t>le</w:t>
      </w:r>
      <w:r w:rsidR="00577410" w:rsidRPr="001D1676">
        <w:t xml:space="preserve">s de </w:t>
      </w:r>
      <w:proofErr w:type="spellStart"/>
      <w:r w:rsidR="00577410" w:rsidRPr="001D1676">
        <w:t>l’Ac</w:t>
      </w:r>
      <w:proofErr w:type="spellEnd"/>
      <w:r w:rsidR="00577410" w:rsidRPr="001D1676">
        <w:t xml:space="preserve"> thérapeutique et </w:t>
      </w:r>
      <w:r w:rsidR="0039541B" w:rsidRPr="001D1676">
        <w:t xml:space="preserve">suivi d’immunisation des patients vis-à-vis de la biothérapie (dosage des </w:t>
      </w:r>
      <w:proofErr w:type="spellStart"/>
      <w:r w:rsidR="0039541B" w:rsidRPr="001D1676">
        <w:t>Ac</w:t>
      </w:r>
      <w:proofErr w:type="spellEnd"/>
      <w:r w:rsidR="0039541B" w:rsidRPr="001D1676">
        <w:t xml:space="preserve"> </w:t>
      </w:r>
      <w:proofErr w:type="spellStart"/>
      <w:r w:rsidR="0039541B" w:rsidRPr="001D1676">
        <w:t>anti-biothérapie</w:t>
      </w:r>
      <w:proofErr w:type="spellEnd"/>
      <w:r w:rsidR="0039541B" w:rsidRPr="001D1676">
        <w:t>)</w:t>
      </w:r>
      <w:r w:rsidR="00577410" w:rsidRPr="001D1676">
        <w:t xml:space="preserve"> </w:t>
      </w:r>
      <w:r w:rsidR="001D1676" w:rsidRPr="001D1676">
        <w:rPr>
          <w:color w:val="FF0000"/>
        </w:rPr>
        <w:t>2</w:t>
      </w:r>
    </w:p>
    <w:p w14:paraId="4C524FEF" w14:textId="77777777" w:rsidR="0039541B" w:rsidRPr="001D1676" w:rsidRDefault="0039541B" w:rsidP="00577410">
      <w:pPr>
        <w:pStyle w:val="Paragraphedeliste"/>
        <w:numPr>
          <w:ilvl w:val="0"/>
          <w:numId w:val="1"/>
        </w:numPr>
      </w:pPr>
      <w:r w:rsidRPr="001D1676">
        <w:t xml:space="preserve">Intérêt : </w:t>
      </w:r>
    </w:p>
    <w:p w14:paraId="627334A2" w14:textId="5B293875" w:rsidR="0039541B" w:rsidRPr="001D1676" w:rsidRDefault="0039541B" w:rsidP="0039541B">
      <w:pPr>
        <w:pStyle w:val="Paragraphedeliste"/>
        <w:numPr>
          <w:ilvl w:val="0"/>
          <w:numId w:val="2"/>
        </w:numPr>
      </w:pPr>
      <w:r w:rsidRPr="001D1676">
        <w:t xml:space="preserve">Vérifier que les concentrations plasmatiques de </w:t>
      </w:r>
      <w:proofErr w:type="spellStart"/>
      <w:r w:rsidRPr="001D1676">
        <w:t>l’Ac</w:t>
      </w:r>
      <w:proofErr w:type="spellEnd"/>
      <w:r w:rsidRPr="001D1676">
        <w:t xml:space="preserve"> thérapeutique sont situées dans la fenêtre thérapeutique avec possibilité de réajustement de la posologie le cas échéant </w:t>
      </w:r>
      <w:r w:rsidR="001D1676" w:rsidRPr="001D1676">
        <w:rPr>
          <w:color w:val="FF0000"/>
        </w:rPr>
        <w:t>2</w:t>
      </w:r>
    </w:p>
    <w:p w14:paraId="3D2C48FF" w14:textId="60CD9F8F" w:rsidR="00B26914" w:rsidRPr="001D1676" w:rsidRDefault="0039541B" w:rsidP="001D1676">
      <w:pPr>
        <w:pStyle w:val="Paragraphedeliste"/>
        <w:numPr>
          <w:ilvl w:val="0"/>
          <w:numId w:val="2"/>
        </w:numPr>
      </w:pPr>
      <w:r w:rsidRPr="001D1676">
        <w:t xml:space="preserve">Vérifier l’absence d’immunisation qui peut expliquer une </w:t>
      </w:r>
      <w:r w:rsidRPr="001F557C">
        <w:rPr>
          <w:u w:val="single"/>
        </w:rPr>
        <w:t>perte de réponse clinique</w:t>
      </w:r>
      <w:r w:rsidRPr="001D1676">
        <w:t xml:space="preserve"> (</w:t>
      </w:r>
      <w:r w:rsidRPr="001F557C">
        <w:rPr>
          <w:u w:val="single"/>
        </w:rPr>
        <w:t>augmentation de la clairance de la biothérapie</w:t>
      </w:r>
      <w:r w:rsidRPr="001D1676">
        <w:t xml:space="preserve"> ou encore </w:t>
      </w:r>
      <w:r w:rsidRPr="001F557C">
        <w:rPr>
          <w:u w:val="single"/>
        </w:rPr>
        <w:t>blocage de l’accessibilité de la cible</w:t>
      </w:r>
      <w:r w:rsidRPr="001D1676">
        <w:t xml:space="preserve">) ou encore </w:t>
      </w:r>
      <w:r w:rsidRPr="001F557C">
        <w:rPr>
          <w:u w:val="single"/>
        </w:rPr>
        <w:t>un effet indésirable</w:t>
      </w:r>
      <w:r w:rsidRPr="001D1676">
        <w:t xml:space="preserve"> de type réaction d’hypersensibilité</w:t>
      </w:r>
      <w:r w:rsidR="001D1676" w:rsidRPr="001D1676">
        <w:t xml:space="preserve"> </w:t>
      </w:r>
      <w:r w:rsidR="007C2EDE">
        <w:rPr>
          <w:color w:val="FF0000"/>
        </w:rPr>
        <w:t>4</w:t>
      </w:r>
    </w:p>
    <w:sectPr w:rsidR="00B26914" w:rsidRPr="001D1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34291"/>
    <w:multiLevelType w:val="hybridMultilevel"/>
    <w:tmpl w:val="677EBCA8"/>
    <w:lvl w:ilvl="0" w:tplc="D0CA7DCC">
      <w:numFmt w:val="bullet"/>
      <w:lvlText w:val=""/>
      <w:lvlJc w:val="left"/>
      <w:pPr>
        <w:ind w:left="1776" w:hanging="360"/>
      </w:pPr>
      <w:rPr>
        <w:rFonts w:ascii="Symbol" w:eastAsiaTheme="minorHAnsi" w:hAnsi="Symbol"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772101A8"/>
    <w:multiLevelType w:val="hybridMultilevel"/>
    <w:tmpl w:val="2514B7B2"/>
    <w:lvl w:ilvl="0" w:tplc="7C3807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986504">
    <w:abstractNumId w:val="1"/>
  </w:num>
  <w:num w:numId="2" w16cid:durableId="8920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14"/>
    <w:rsid w:val="00000B3B"/>
    <w:rsid w:val="000A17B6"/>
    <w:rsid w:val="000F0280"/>
    <w:rsid w:val="00111DAF"/>
    <w:rsid w:val="001D1676"/>
    <w:rsid w:val="001F557C"/>
    <w:rsid w:val="002B209A"/>
    <w:rsid w:val="002B3BFB"/>
    <w:rsid w:val="0039541B"/>
    <w:rsid w:val="003E4780"/>
    <w:rsid w:val="00436C85"/>
    <w:rsid w:val="0046615C"/>
    <w:rsid w:val="00495B87"/>
    <w:rsid w:val="00495E8D"/>
    <w:rsid w:val="004E624D"/>
    <w:rsid w:val="00577410"/>
    <w:rsid w:val="00660814"/>
    <w:rsid w:val="006F3A86"/>
    <w:rsid w:val="007C2EDE"/>
    <w:rsid w:val="00824354"/>
    <w:rsid w:val="008E1CBE"/>
    <w:rsid w:val="009B2B6C"/>
    <w:rsid w:val="009E1128"/>
    <w:rsid w:val="00AC300F"/>
    <w:rsid w:val="00B26914"/>
    <w:rsid w:val="00D50F8B"/>
    <w:rsid w:val="00DF1FA1"/>
    <w:rsid w:val="00E06D49"/>
    <w:rsid w:val="00E66111"/>
    <w:rsid w:val="00F35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BB37"/>
  <w15:chartTrackingRefBased/>
  <w15:docId w15:val="{E9605B0C-654C-4141-A448-4B59CF30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4354"/>
    <w:pPr>
      <w:ind w:left="720"/>
      <w:contextualSpacing/>
    </w:pPr>
  </w:style>
  <w:style w:type="paragraph" w:styleId="Textedebulles">
    <w:name w:val="Balloon Text"/>
    <w:basedOn w:val="Normal"/>
    <w:link w:val="TextedebullesCar"/>
    <w:uiPriority w:val="99"/>
    <w:semiHidden/>
    <w:unhideWhenUsed/>
    <w:rsid w:val="002B20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2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786</Words>
  <Characters>4328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Gleizes</dc:creator>
  <cp:keywords/>
  <dc:description/>
  <cp:lastModifiedBy>Aude Gleizes</cp:lastModifiedBy>
  <cp:revision>4</cp:revision>
  <cp:lastPrinted>2024-07-05T14:23:00Z</cp:lastPrinted>
  <dcterms:created xsi:type="dcterms:W3CDTF">2024-07-06T10:06:00Z</dcterms:created>
  <dcterms:modified xsi:type="dcterms:W3CDTF">2024-09-12T07:18:00Z</dcterms:modified>
</cp:coreProperties>
</file>