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0C" w:rsidRDefault="00AF248E">
      <w:pPr>
        <w:tabs>
          <w:tab w:val="right" w:pos="9074"/>
        </w:tabs>
        <w:spacing w:after="413"/>
        <w:ind w:left="-576"/>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-222250</wp:posOffset>
            </wp:positionV>
            <wp:extent cx="727710" cy="54155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727710" cy="541553"/>
                    </a:xfrm>
                    <a:prstGeom prst="rect">
                      <a:avLst/>
                    </a:prstGeom>
                  </pic:spPr>
                </pic:pic>
              </a:graphicData>
            </a:graphic>
          </wp:anchor>
        </w:drawing>
      </w:r>
      <w:r>
        <w:rPr>
          <w:sz w:val="24"/>
        </w:rPr>
        <w:tab/>
        <w:t xml:space="preserve">Lecompte </w:t>
      </w:r>
      <w:proofErr w:type="spellStart"/>
      <w:r>
        <w:rPr>
          <w:sz w:val="24"/>
        </w:rPr>
        <w:t>Chloë</w:t>
      </w:r>
      <w:proofErr w:type="spellEnd"/>
      <w:r>
        <w:rPr>
          <w:sz w:val="24"/>
        </w:rPr>
        <w:t xml:space="preserve"> </w:t>
      </w:r>
      <w:r w:rsidRPr="00AF248E">
        <w:rPr>
          <w:i/>
          <w:color w:val="FF0000"/>
          <w:sz w:val="24"/>
        </w:rPr>
        <w:t xml:space="preserve">(Romaric de </w:t>
      </w:r>
      <w:proofErr w:type="spellStart"/>
      <w:r w:rsidRPr="00AF248E">
        <w:rPr>
          <w:i/>
          <w:color w:val="FF0000"/>
          <w:sz w:val="24"/>
        </w:rPr>
        <w:t>Laforcade</w:t>
      </w:r>
      <w:proofErr w:type="spellEnd"/>
      <w:r w:rsidRPr="00AF248E">
        <w:rPr>
          <w:i/>
          <w:color w:val="FF0000"/>
          <w:sz w:val="24"/>
        </w:rPr>
        <w:t>)</w:t>
      </w:r>
    </w:p>
    <w:p w:rsidR="007F390C" w:rsidRDefault="00AF248E">
      <w:pPr>
        <w:pStyle w:val="Titre1"/>
      </w:pPr>
      <w:r>
        <w:rPr>
          <w:sz w:val="56"/>
        </w:rPr>
        <w:t>D</w:t>
      </w:r>
      <w:r>
        <w:t xml:space="preserve">OUBLE HYBRIDE </w:t>
      </w:r>
    </w:p>
    <w:p w:rsidR="007F390C" w:rsidRDefault="00AF248E">
      <w:pPr>
        <w:pBdr>
          <w:top w:val="single" w:sz="4" w:space="0" w:color="000000"/>
          <w:left w:val="single" w:sz="4" w:space="0" w:color="000000"/>
          <w:bottom w:val="single" w:sz="4" w:space="0" w:color="000000"/>
          <w:right w:val="single" w:sz="4" w:space="0" w:color="000000"/>
        </w:pBdr>
        <w:shd w:val="clear" w:color="auto" w:fill="4472C4"/>
        <w:spacing w:after="0"/>
        <w:ind w:left="115"/>
      </w:pPr>
      <w:r>
        <w:rPr>
          <w:color w:val="FFFFFF"/>
          <w:sz w:val="28"/>
        </w:rPr>
        <w:t>Sciences EN Tête Biologie-Année 2020-2021</w:t>
      </w:r>
      <w:r>
        <w:rPr>
          <w:color w:val="4472C4"/>
          <w:sz w:val="36"/>
        </w:rPr>
        <w:t xml:space="preserve"> </w:t>
      </w:r>
    </w:p>
    <w:p w:rsidR="007F390C" w:rsidRDefault="00AF248E">
      <w:pPr>
        <w:spacing w:after="49"/>
      </w:pPr>
      <w:r>
        <w:rPr>
          <w:color w:val="4472C4"/>
          <w:sz w:val="36"/>
        </w:rPr>
        <w:t xml:space="preserve"> </w:t>
      </w:r>
    </w:p>
    <w:p w:rsidR="007F390C" w:rsidRDefault="00AF248E">
      <w:pPr>
        <w:numPr>
          <w:ilvl w:val="0"/>
          <w:numId w:val="1"/>
        </w:numPr>
        <w:shd w:val="clear" w:color="auto" w:fill="B4C6E7"/>
        <w:spacing w:after="0"/>
        <w:ind w:hanging="360"/>
      </w:pPr>
      <w:r>
        <w:rPr>
          <w:sz w:val="28"/>
        </w:rPr>
        <w:t xml:space="preserve">Principe </w:t>
      </w:r>
    </w:p>
    <w:p w:rsidR="007F390C" w:rsidRDefault="00AF248E">
      <w:pPr>
        <w:spacing w:after="161"/>
      </w:pPr>
      <w:r>
        <w:rPr>
          <w:sz w:val="24"/>
        </w:rPr>
        <w:t xml:space="preserve"> </w:t>
      </w:r>
    </w:p>
    <w:p w:rsidR="007F390C" w:rsidRDefault="00AF248E">
      <w:pPr>
        <w:spacing w:after="156" w:line="264" w:lineRule="auto"/>
        <w:ind w:left="-5" w:hanging="10"/>
      </w:pPr>
      <w:r>
        <w:rPr>
          <w:sz w:val="24"/>
        </w:rPr>
        <w:t xml:space="preserve">La technique de double hybride permet, en biologie moléculaire, de détecter une interaction physique entre deux protéines </w:t>
      </w:r>
      <w:r>
        <w:rPr>
          <w:sz w:val="24"/>
        </w:rPr>
        <w:t xml:space="preserve">X et Y grâce à l’activation d’un gène rapporteur. Cette technique a initialement été développé par Song et Fields en 1989, et se déroule in </w:t>
      </w:r>
      <w:proofErr w:type="gramStart"/>
      <w:r>
        <w:rPr>
          <w:sz w:val="24"/>
        </w:rPr>
        <w:t>vivo</w:t>
      </w:r>
      <w:r>
        <w:rPr>
          <w:rFonts w:ascii="Cambria Math" w:eastAsia="Cambria Math" w:hAnsi="Cambria Math" w:cs="Cambria Math"/>
          <w:sz w:val="24"/>
        </w:rPr>
        <w:t>.</w:t>
      </w:r>
      <w:r>
        <w:rPr>
          <w:rFonts w:ascii="Cambria Math" w:eastAsia="Cambria Math" w:hAnsi="Cambria Math" w:cs="Cambria Math"/>
          <w:sz w:val="24"/>
          <w:vertAlign w:val="superscript"/>
        </w:rPr>
        <w:t>(</w:t>
      </w:r>
      <w:proofErr w:type="gramEnd"/>
      <w:r>
        <w:rPr>
          <w:rFonts w:ascii="Cambria Math" w:eastAsia="Cambria Math" w:hAnsi="Cambria Math" w:cs="Cambria Math"/>
          <w:sz w:val="24"/>
          <w:vertAlign w:val="superscript"/>
        </w:rPr>
        <w:t>1)</w:t>
      </w:r>
      <w:r>
        <w:rPr>
          <w:sz w:val="24"/>
        </w:rPr>
        <w:t xml:space="preserve"> </w:t>
      </w:r>
    </w:p>
    <w:p w:rsidR="007F390C" w:rsidRDefault="00AF248E">
      <w:pPr>
        <w:spacing w:after="194" w:line="260" w:lineRule="auto"/>
        <w:ind w:left="-5" w:hanging="10"/>
      </w:pPr>
      <w:r>
        <w:rPr>
          <w:sz w:val="24"/>
        </w:rPr>
        <w:t>Cette technique repose sur l’utilisation d’un facteur de transcription avec deux domaines, un domaine de l</w:t>
      </w:r>
      <w:r>
        <w:rPr>
          <w:sz w:val="24"/>
        </w:rPr>
        <w:t xml:space="preserve">iaison à l’ADN et un domaine de </w:t>
      </w:r>
      <w:proofErr w:type="spellStart"/>
      <w:r>
        <w:rPr>
          <w:sz w:val="24"/>
        </w:rPr>
        <w:t>transactivation</w:t>
      </w:r>
      <w:proofErr w:type="spellEnd"/>
      <w:r>
        <w:rPr>
          <w:sz w:val="24"/>
        </w:rPr>
        <w:t xml:space="preserve">. On dispose d’une protéine cible couplée au domaine de liaison à l’ADN et de protéines pouvant potentiellement interagir avec la cible couplée au domaine de </w:t>
      </w:r>
      <w:proofErr w:type="spellStart"/>
      <w:r>
        <w:rPr>
          <w:sz w:val="24"/>
        </w:rPr>
        <w:t>transactivation</w:t>
      </w:r>
      <w:proofErr w:type="spellEnd"/>
      <w:r>
        <w:rPr>
          <w:sz w:val="24"/>
        </w:rPr>
        <w:t xml:space="preserve"> de l’ADN. En utilisant une séquence</w:t>
      </w:r>
      <w:r>
        <w:rPr>
          <w:sz w:val="24"/>
        </w:rPr>
        <w:t xml:space="preserve"> d’ADN codant pour un gène rapporteur sous le contrôle d’un promoteur activé par le facteur de transcription, on peut fixer la cible sur l’ADN va le domaine de liaison de l’ADN </w:t>
      </w:r>
      <w:proofErr w:type="gramStart"/>
      <w:r>
        <w:rPr>
          <w:sz w:val="24"/>
        </w:rPr>
        <w:t>du</w:t>
      </w:r>
      <w:proofErr w:type="gramEnd"/>
      <w:r>
        <w:rPr>
          <w:sz w:val="24"/>
        </w:rPr>
        <w:t xml:space="preserve"> facteur de transcription. SI le système ne possède pas le domaine de </w:t>
      </w:r>
      <w:proofErr w:type="spellStart"/>
      <w:r>
        <w:rPr>
          <w:sz w:val="24"/>
        </w:rPr>
        <w:t>transac</w:t>
      </w:r>
      <w:r>
        <w:rPr>
          <w:sz w:val="24"/>
        </w:rPr>
        <w:t>tivation</w:t>
      </w:r>
      <w:proofErr w:type="spellEnd"/>
      <w:r>
        <w:rPr>
          <w:sz w:val="24"/>
        </w:rPr>
        <w:t>, il n’y a pas d’activation de l’expression du gène. L’expérience consiste à tester la capacité des protéines d’un complexe putatif à se lier à la protéine cible. S’il y a interaction, il y aura reconstitution du facteur de transcription actif du f</w:t>
      </w:r>
      <w:r>
        <w:rPr>
          <w:sz w:val="24"/>
        </w:rPr>
        <w:t xml:space="preserve">ait de la proximité des domaines de liaison à l’ADN et du domaine de </w:t>
      </w:r>
      <w:proofErr w:type="spellStart"/>
      <w:r>
        <w:rPr>
          <w:sz w:val="24"/>
        </w:rPr>
        <w:t>transactivation</w:t>
      </w:r>
      <w:proofErr w:type="spellEnd"/>
      <w:r>
        <w:rPr>
          <w:sz w:val="24"/>
        </w:rPr>
        <w:t>. Du coup le gène rapporteur sera activé</w:t>
      </w:r>
      <w:r>
        <w:rPr>
          <w:rFonts w:ascii="Cambria Math" w:eastAsia="Cambria Math" w:hAnsi="Cambria Math" w:cs="Cambria Math"/>
          <w:sz w:val="24"/>
        </w:rPr>
        <w:t>.</w:t>
      </w:r>
      <w:r w:rsidR="00A76687">
        <w:rPr>
          <w:rFonts w:ascii="Cambria Math" w:eastAsia="Cambria Math" w:hAnsi="Cambria Math" w:cs="Cambria Math"/>
          <w:sz w:val="24"/>
        </w:rPr>
        <w:t xml:space="preserve"> </w:t>
      </w:r>
      <w:r>
        <w:rPr>
          <w:rFonts w:ascii="Cambria Math" w:eastAsia="Cambria Math" w:hAnsi="Cambria Math" w:cs="Cambria Math"/>
          <w:sz w:val="24"/>
          <w:vertAlign w:val="superscript"/>
        </w:rPr>
        <w:t>(3)</w:t>
      </w:r>
      <w:r>
        <w:rPr>
          <w:sz w:val="24"/>
        </w:rPr>
        <w:t xml:space="preserve"> </w:t>
      </w:r>
    </w:p>
    <w:p w:rsidR="007F390C" w:rsidRDefault="00AF248E">
      <w:pPr>
        <w:spacing w:after="196"/>
      </w:pPr>
      <w:r>
        <w:rPr>
          <w:sz w:val="24"/>
        </w:rPr>
        <w:t xml:space="preserve"> </w:t>
      </w:r>
    </w:p>
    <w:p w:rsidR="007F390C" w:rsidRDefault="00AF248E">
      <w:pPr>
        <w:numPr>
          <w:ilvl w:val="0"/>
          <w:numId w:val="1"/>
        </w:numPr>
        <w:shd w:val="clear" w:color="auto" w:fill="B4C6E7"/>
        <w:spacing w:after="0"/>
        <w:ind w:hanging="360"/>
      </w:pPr>
      <w:r>
        <w:rPr>
          <w:sz w:val="24"/>
        </w:rPr>
        <w:t xml:space="preserve">Méthode </w:t>
      </w:r>
    </w:p>
    <w:tbl>
      <w:tblPr>
        <w:tblStyle w:val="TableGrid"/>
        <w:tblW w:w="9806" w:type="dxa"/>
        <w:tblInd w:w="0" w:type="dxa"/>
        <w:tblCellMar>
          <w:top w:w="0" w:type="dxa"/>
          <w:left w:w="0" w:type="dxa"/>
          <w:bottom w:w="0" w:type="dxa"/>
          <w:right w:w="0" w:type="dxa"/>
        </w:tblCellMar>
        <w:tblLook w:val="04A0" w:firstRow="1" w:lastRow="0" w:firstColumn="1" w:lastColumn="0" w:noHBand="0" w:noVBand="1"/>
      </w:tblPr>
      <w:tblGrid>
        <w:gridCol w:w="4211"/>
        <w:gridCol w:w="11223"/>
      </w:tblGrid>
      <w:tr w:rsidR="007F390C">
        <w:trPr>
          <w:trHeight w:val="3726"/>
        </w:trPr>
        <w:tc>
          <w:tcPr>
            <w:tcW w:w="4371" w:type="dxa"/>
            <w:tcBorders>
              <w:top w:val="nil"/>
              <w:left w:val="nil"/>
              <w:bottom w:val="nil"/>
              <w:right w:val="nil"/>
            </w:tcBorders>
          </w:tcPr>
          <w:p w:rsidR="007F390C" w:rsidRDefault="00AF248E">
            <w:pPr>
              <w:spacing w:after="0"/>
            </w:pPr>
            <w:bookmarkStart w:id="0" w:name="_GoBack"/>
            <w:r>
              <w:rPr>
                <w:noProof/>
              </w:rPr>
              <w:drawing>
                <wp:inline distT="0" distB="0" distL="0" distR="0">
                  <wp:extent cx="2674366" cy="1809129"/>
                  <wp:effectExtent l="0" t="0" r="0" b="63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4366" cy="1809129"/>
                          </a:xfrm>
                          <a:prstGeom prst="rect">
                            <a:avLst/>
                          </a:prstGeom>
                        </pic:spPr>
                      </pic:pic>
                    </a:graphicData>
                  </a:graphic>
                </wp:inline>
              </w:drawing>
            </w:r>
            <w:bookmarkEnd w:id="0"/>
          </w:p>
        </w:tc>
        <w:tc>
          <w:tcPr>
            <w:tcW w:w="5436" w:type="dxa"/>
            <w:tcBorders>
              <w:top w:val="nil"/>
              <w:left w:val="nil"/>
              <w:bottom w:val="nil"/>
              <w:right w:val="nil"/>
            </w:tcBorders>
          </w:tcPr>
          <w:p w:rsidR="007F390C" w:rsidRDefault="007F390C">
            <w:pPr>
              <w:spacing w:after="0"/>
              <w:ind w:left="-5787" w:right="11222"/>
            </w:pPr>
          </w:p>
          <w:tbl>
            <w:tblPr>
              <w:tblStyle w:val="TableGrid"/>
              <w:tblW w:w="5276" w:type="dxa"/>
              <w:tblInd w:w="159" w:type="dxa"/>
              <w:tblCellMar>
                <w:top w:w="43" w:type="dxa"/>
                <w:left w:w="108" w:type="dxa"/>
                <w:bottom w:w="0" w:type="dxa"/>
                <w:right w:w="115" w:type="dxa"/>
              </w:tblCellMar>
              <w:tblLook w:val="04A0" w:firstRow="1" w:lastRow="0" w:firstColumn="1" w:lastColumn="0" w:noHBand="0" w:noVBand="1"/>
            </w:tblPr>
            <w:tblGrid>
              <w:gridCol w:w="5276"/>
            </w:tblGrid>
            <w:tr w:rsidR="007F390C" w:rsidTr="00A76687">
              <w:trPr>
                <w:trHeight w:val="1000"/>
              </w:trPr>
              <w:tc>
                <w:tcPr>
                  <w:tcW w:w="5276" w:type="dxa"/>
                  <w:tcBorders>
                    <w:top w:val="single" w:sz="4" w:space="0" w:color="000000"/>
                    <w:left w:val="single" w:sz="4" w:space="0" w:color="000000"/>
                    <w:bottom w:val="single" w:sz="4" w:space="0" w:color="000000"/>
                    <w:right w:val="single" w:sz="4" w:space="0" w:color="000000"/>
                  </w:tcBorders>
                </w:tcPr>
                <w:p w:rsidR="007F390C" w:rsidRPr="00A76687" w:rsidRDefault="00AF248E">
                  <w:pPr>
                    <w:spacing w:after="42" w:line="240" w:lineRule="auto"/>
                    <w:rPr>
                      <w:i/>
                      <w:sz w:val="18"/>
                    </w:rPr>
                  </w:pPr>
                  <w:proofErr w:type="spellStart"/>
                  <w:r>
                    <w:rPr>
                      <w:i/>
                      <w:sz w:val="18"/>
                    </w:rPr>
                    <w:t>Fig</w:t>
                  </w:r>
                  <w:proofErr w:type="spellEnd"/>
                  <w:r>
                    <w:rPr>
                      <w:i/>
                      <w:sz w:val="18"/>
                    </w:rPr>
                    <w:t xml:space="preserve"> 1 : Schéma interaction double hybride. Un domaine de liaison qui </w:t>
                  </w:r>
                  <w:r>
                    <w:rPr>
                      <w:i/>
                      <w:sz w:val="18"/>
                    </w:rPr>
                    <w:t>se fixe sur l’ADN et un domai</w:t>
                  </w:r>
                  <w:r w:rsidR="00A76687">
                    <w:rPr>
                      <w:i/>
                      <w:sz w:val="18"/>
                    </w:rPr>
                    <w:t>ne d’activation du gène. Associer</w:t>
                  </w:r>
                  <w:r>
                    <w:rPr>
                      <w:i/>
                      <w:sz w:val="18"/>
                    </w:rPr>
                    <w:t xml:space="preserve"> </w:t>
                  </w:r>
                  <w:proofErr w:type="spellStart"/>
                  <w:r>
                    <w:rPr>
                      <w:i/>
                      <w:sz w:val="18"/>
                    </w:rPr>
                    <w:t>HBx</w:t>
                  </w:r>
                  <w:proofErr w:type="spellEnd"/>
                  <w:r>
                    <w:rPr>
                      <w:i/>
                      <w:sz w:val="18"/>
                    </w:rPr>
                    <w:t xml:space="preserve"> au domaine de liaison a permis de vérifier si c’était un activateur.</w:t>
                  </w:r>
                  <w:r>
                    <w:rPr>
                      <w:i/>
                      <w:sz w:val="18"/>
                    </w:rPr>
                    <w:t xml:space="preserve"> </w:t>
                  </w:r>
                </w:p>
                <w:p w:rsidR="007F390C" w:rsidRDefault="00AF248E">
                  <w:pPr>
                    <w:spacing w:after="0"/>
                  </w:pPr>
                  <w:r>
                    <w:rPr>
                      <w:i/>
                      <w:sz w:val="18"/>
                    </w:rPr>
                    <w:t>[</w:t>
                  </w:r>
                  <w:proofErr w:type="spellStart"/>
                  <w:r>
                    <w:rPr>
                      <w:i/>
                      <w:sz w:val="18"/>
                    </w:rPr>
                    <w:t>img</w:t>
                  </w:r>
                  <w:proofErr w:type="spellEnd"/>
                  <w:r>
                    <w:rPr>
                      <w:i/>
                      <w:sz w:val="18"/>
                    </w:rPr>
                    <w:t xml:space="preserve">]Source : </w:t>
                  </w:r>
                  <w:proofErr w:type="spellStart"/>
                  <w:r>
                    <w:rPr>
                      <w:i/>
                      <w:sz w:val="18"/>
                    </w:rPr>
                    <w:t>Prof.Strubin</w:t>
                  </w:r>
                  <w:proofErr w:type="spellEnd"/>
                  <w:r>
                    <w:rPr>
                      <w:i/>
                      <w:sz w:val="24"/>
                    </w:rPr>
                    <w:t xml:space="preserve"> </w:t>
                  </w:r>
                </w:p>
              </w:tc>
            </w:tr>
          </w:tbl>
          <w:p w:rsidR="007F390C" w:rsidRDefault="007F390C"/>
        </w:tc>
      </w:tr>
    </w:tbl>
    <w:p w:rsidR="007F390C" w:rsidRDefault="00AF248E">
      <w:pPr>
        <w:spacing w:after="159"/>
      </w:pPr>
      <w:r>
        <w:rPr>
          <w:sz w:val="24"/>
        </w:rPr>
        <w:t xml:space="preserve"> </w:t>
      </w:r>
    </w:p>
    <w:p w:rsidR="007F390C" w:rsidRDefault="00AF248E">
      <w:pPr>
        <w:spacing w:after="161"/>
      </w:pPr>
      <w:r>
        <w:rPr>
          <w:sz w:val="24"/>
        </w:rPr>
        <w:t xml:space="preserve"> </w:t>
      </w:r>
    </w:p>
    <w:p w:rsidR="007F390C" w:rsidRDefault="00AF248E">
      <w:pPr>
        <w:spacing w:after="0"/>
      </w:pPr>
      <w:r>
        <w:rPr>
          <w:sz w:val="24"/>
        </w:rPr>
        <w:t xml:space="preserve"> </w:t>
      </w:r>
    </w:p>
    <w:p w:rsidR="007F390C" w:rsidRDefault="00AF248E">
      <w:pPr>
        <w:spacing w:after="193" w:line="264" w:lineRule="auto"/>
        <w:ind w:left="-5" w:hanging="10"/>
      </w:pPr>
      <w:r>
        <w:rPr>
          <w:sz w:val="24"/>
        </w:rPr>
        <w:lastRenderedPageBreak/>
        <w:t xml:space="preserve">Prenons deux protéines X et Y. Pour savoir si elles interagissent ensemble on réalise deux protéines de fusion : </w:t>
      </w:r>
    </w:p>
    <w:p w:rsidR="007F390C" w:rsidRDefault="00AF248E">
      <w:pPr>
        <w:numPr>
          <w:ilvl w:val="0"/>
          <w:numId w:val="2"/>
        </w:numPr>
        <w:spacing w:after="34" w:line="260" w:lineRule="auto"/>
        <w:ind w:hanging="360"/>
      </w:pPr>
      <w:r>
        <w:rPr>
          <w:sz w:val="24"/>
        </w:rPr>
        <w:t xml:space="preserve">Protéine X + Domaine d’activation d’un gène rapporteur </w:t>
      </w:r>
    </w:p>
    <w:p w:rsidR="007F390C" w:rsidRDefault="00AF248E">
      <w:pPr>
        <w:numPr>
          <w:ilvl w:val="0"/>
          <w:numId w:val="2"/>
        </w:numPr>
        <w:spacing w:after="156" w:line="264" w:lineRule="auto"/>
        <w:ind w:hanging="360"/>
      </w:pPr>
      <w:r>
        <w:rPr>
          <w:sz w:val="24"/>
        </w:rPr>
        <w:t xml:space="preserve">Protéine Y + Domaine de fixation à la séquence promotrice du gène rapporteur. </w:t>
      </w:r>
    </w:p>
    <w:p w:rsidR="007F390C" w:rsidRDefault="00AF248E">
      <w:pPr>
        <w:spacing w:after="156" w:line="264" w:lineRule="auto"/>
        <w:ind w:left="-5" w:hanging="10"/>
      </w:pPr>
      <w:r>
        <w:rPr>
          <w:sz w:val="24"/>
        </w:rPr>
        <w:t xml:space="preserve">Ainsi, </w:t>
      </w:r>
      <w:r>
        <w:rPr>
          <w:sz w:val="24"/>
        </w:rPr>
        <w:t xml:space="preserve">pour obtenir une activation du gène rapporteur il faut une mise en contact du domaine d’activation au domaine de fixation. (Ce n’est possible que s’il y a interaction entre X et Y) </w:t>
      </w:r>
    </w:p>
    <w:p w:rsidR="007F390C" w:rsidRDefault="00AF248E">
      <w:pPr>
        <w:spacing w:after="159"/>
      </w:pPr>
      <w:r>
        <w:rPr>
          <w:sz w:val="24"/>
        </w:rPr>
        <w:t xml:space="preserve"> </w:t>
      </w:r>
    </w:p>
    <w:p w:rsidR="007F390C" w:rsidRDefault="00AF248E">
      <w:pPr>
        <w:spacing w:after="111"/>
      </w:pPr>
      <w:r>
        <w:rPr>
          <w:sz w:val="24"/>
        </w:rPr>
        <w:t xml:space="preserve"> </w:t>
      </w:r>
    </w:p>
    <w:p w:rsidR="007F390C" w:rsidRDefault="00AF248E">
      <w:pPr>
        <w:spacing w:after="104"/>
        <w:ind w:right="2898"/>
        <w:jc w:val="center"/>
      </w:pPr>
      <w:r>
        <w:rPr>
          <w:noProof/>
        </w:rPr>
        <w:drawing>
          <wp:inline distT="0" distB="0" distL="0" distR="0">
            <wp:extent cx="3885565" cy="2895092"/>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7"/>
                    <a:stretch>
                      <a:fillRect/>
                    </a:stretch>
                  </pic:blipFill>
                  <pic:spPr>
                    <a:xfrm>
                      <a:off x="0" y="0"/>
                      <a:ext cx="3885565" cy="2895092"/>
                    </a:xfrm>
                    <a:prstGeom prst="rect">
                      <a:avLst/>
                    </a:prstGeom>
                  </pic:spPr>
                </pic:pic>
              </a:graphicData>
            </a:graphic>
          </wp:inline>
        </w:drawing>
      </w:r>
      <w:r>
        <w:rPr>
          <w:sz w:val="24"/>
        </w:rPr>
        <w:t xml:space="preserve"> </w:t>
      </w:r>
    </w:p>
    <w:p w:rsidR="007F390C" w:rsidRDefault="00AF248E">
      <w:pPr>
        <w:pBdr>
          <w:top w:val="single" w:sz="4" w:space="0" w:color="000000"/>
          <w:left w:val="single" w:sz="4" w:space="0" w:color="000000"/>
          <w:bottom w:val="single" w:sz="4" w:space="0" w:color="000000"/>
          <w:right w:val="single" w:sz="4" w:space="0" w:color="000000"/>
        </w:pBdr>
        <w:spacing w:after="0"/>
        <w:ind w:left="115" w:right="114"/>
      </w:pPr>
      <w:r>
        <w:rPr>
          <w:i/>
          <w:sz w:val="24"/>
        </w:rPr>
        <w:t>Fig2 : Rés</w:t>
      </w:r>
      <w:r>
        <w:rPr>
          <w:i/>
          <w:sz w:val="24"/>
        </w:rPr>
        <w:t xml:space="preserve">ultat d’expérience visant à déterminer où la protéine </w:t>
      </w:r>
      <w:proofErr w:type="spellStart"/>
      <w:r>
        <w:rPr>
          <w:i/>
          <w:sz w:val="24"/>
        </w:rPr>
        <w:t>HBx</w:t>
      </w:r>
      <w:proofErr w:type="spellEnd"/>
      <w:r>
        <w:rPr>
          <w:i/>
          <w:sz w:val="24"/>
        </w:rPr>
        <w:t xml:space="preserve"> liait son partenaire cellulaire et exerçais des activités de stimulation de la multiplication virale. Pour cela il y a eu association de GFP à </w:t>
      </w:r>
      <w:proofErr w:type="spellStart"/>
      <w:r>
        <w:rPr>
          <w:i/>
          <w:sz w:val="24"/>
        </w:rPr>
        <w:t>HBx</w:t>
      </w:r>
      <w:proofErr w:type="spellEnd"/>
      <w:r>
        <w:rPr>
          <w:i/>
          <w:sz w:val="24"/>
        </w:rPr>
        <w:t xml:space="preserve"> et ils l’ont exprimé dans la cellule (Source : M. </w:t>
      </w:r>
      <w:proofErr w:type="spellStart"/>
      <w:r>
        <w:rPr>
          <w:i/>
          <w:sz w:val="24"/>
        </w:rPr>
        <w:t>S</w:t>
      </w:r>
      <w:r>
        <w:rPr>
          <w:i/>
          <w:sz w:val="24"/>
        </w:rPr>
        <w:t>trubin</w:t>
      </w:r>
      <w:proofErr w:type="spellEnd"/>
      <w:r>
        <w:rPr>
          <w:i/>
          <w:sz w:val="24"/>
        </w:rPr>
        <w:t xml:space="preserve"> CF </w:t>
      </w:r>
      <w:proofErr w:type="spellStart"/>
      <w:r>
        <w:rPr>
          <w:i/>
          <w:sz w:val="24"/>
        </w:rPr>
        <w:t>BioTremplins</w:t>
      </w:r>
      <w:proofErr w:type="spellEnd"/>
      <w:r>
        <w:rPr>
          <w:i/>
          <w:sz w:val="24"/>
        </w:rPr>
        <w:t xml:space="preserve"> 11janvier 2010</w:t>
      </w:r>
      <w:r>
        <w:rPr>
          <w:rFonts w:ascii="Cambria Math" w:eastAsia="Cambria Math" w:hAnsi="Cambria Math" w:cs="Cambria Math"/>
          <w:sz w:val="24"/>
        </w:rPr>
        <w:t>)</w:t>
      </w:r>
      <w:r w:rsidR="00DB26C7">
        <w:rPr>
          <w:rFonts w:ascii="Cambria Math" w:eastAsia="Cambria Math" w:hAnsi="Cambria Math" w:cs="Cambria Math"/>
          <w:sz w:val="24"/>
        </w:rPr>
        <w:t xml:space="preserve"> </w:t>
      </w:r>
      <w:r>
        <w:rPr>
          <w:rFonts w:ascii="Cambria Math" w:eastAsia="Cambria Math" w:hAnsi="Cambria Math" w:cs="Cambria Math"/>
          <w:sz w:val="24"/>
          <w:vertAlign w:val="superscript"/>
        </w:rPr>
        <w:t>(4)</w:t>
      </w:r>
      <w:r>
        <w:rPr>
          <w:i/>
          <w:sz w:val="24"/>
        </w:rPr>
        <w:t xml:space="preserve"> </w:t>
      </w:r>
    </w:p>
    <w:tbl>
      <w:tblPr>
        <w:tblStyle w:val="TableGrid"/>
        <w:tblW w:w="9064" w:type="dxa"/>
        <w:tblInd w:w="0" w:type="dxa"/>
        <w:tblCellMar>
          <w:top w:w="40" w:type="dxa"/>
          <w:left w:w="108" w:type="dxa"/>
          <w:bottom w:w="0" w:type="dxa"/>
          <w:right w:w="69" w:type="dxa"/>
        </w:tblCellMar>
        <w:tblLook w:val="04A0" w:firstRow="1" w:lastRow="0" w:firstColumn="1" w:lastColumn="0" w:noHBand="0" w:noVBand="1"/>
      </w:tblPr>
      <w:tblGrid>
        <w:gridCol w:w="4532"/>
        <w:gridCol w:w="4532"/>
      </w:tblGrid>
      <w:tr w:rsidR="007F390C">
        <w:trPr>
          <w:trHeight w:val="491"/>
        </w:trPr>
        <w:tc>
          <w:tcPr>
            <w:tcW w:w="4532" w:type="dxa"/>
            <w:tcBorders>
              <w:top w:val="nil"/>
              <w:left w:val="nil"/>
              <w:bottom w:val="single" w:sz="4" w:space="0" w:color="000000"/>
              <w:right w:val="nil"/>
            </w:tcBorders>
            <w:shd w:val="clear" w:color="auto" w:fill="D9E2F3"/>
          </w:tcPr>
          <w:p w:rsidR="007F390C" w:rsidRDefault="00AF248E">
            <w:pPr>
              <w:spacing w:after="0"/>
            </w:pPr>
            <w:r>
              <w:rPr>
                <w:sz w:val="20"/>
              </w:rPr>
              <w:t xml:space="preserve">Avantages et Inconvénients </w:t>
            </w:r>
          </w:p>
          <w:p w:rsidR="007F390C" w:rsidRDefault="00AF248E">
            <w:pPr>
              <w:spacing w:after="0"/>
            </w:pPr>
            <w:r>
              <w:rPr>
                <w:sz w:val="20"/>
              </w:rPr>
              <w:t xml:space="preserve"> </w:t>
            </w:r>
          </w:p>
        </w:tc>
        <w:tc>
          <w:tcPr>
            <w:tcW w:w="4532" w:type="dxa"/>
            <w:tcBorders>
              <w:top w:val="nil"/>
              <w:left w:val="nil"/>
              <w:bottom w:val="single" w:sz="4" w:space="0" w:color="000000"/>
              <w:right w:val="nil"/>
            </w:tcBorders>
            <w:shd w:val="clear" w:color="auto" w:fill="D9E2F3"/>
          </w:tcPr>
          <w:p w:rsidR="007F390C" w:rsidRDefault="007F390C"/>
        </w:tc>
      </w:tr>
      <w:tr w:rsidR="007F390C">
        <w:trPr>
          <w:trHeight w:val="256"/>
        </w:trPr>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ind w:right="43"/>
              <w:jc w:val="center"/>
            </w:pPr>
            <w:r>
              <w:rPr>
                <w:sz w:val="20"/>
              </w:rPr>
              <w:t>Avantages</w:t>
            </w:r>
            <w:r>
              <w:rPr>
                <w:color w:val="4472C4"/>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ind w:right="41"/>
              <w:jc w:val="center"/>
            </w:pPr>
            <w:r>
              <w:rPr>
                <w:sz w:val="20"/>
              </w:rPr>
              <w:t xml:space="preserve">Inconvénients </w:t>
            </w:r>
          </w:p>
        </w:tc>
      </w:tr>
      <w:tr w:rsidR="007F390C">
        <w:trPr>
          <w:trHeight w:val="500"/>
        </w:trPr>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pPr>
            <w:r>
              <w:rPr>
                <w:sz w:val="20"/>
              </w:rPr>
              <w:t>Permet de détecter interaction physique entre deux protéines</w:t>
            </w:r>
            <w:r>
              <w:rPr>
                <w:color w:val="4472C4"/>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pPr>
            <w:r>
              <w:rPr>
                <w:sz w:val="20"/>
              </w:rPr>
              <w:t xml:space="preserve">Nécessité de faire des contrôles </w:t>
            </w:r>
          </w:p>
        </w:tc>
      </w:tr>
      <w:tr w:rsidR="007F390C">
        <w:trPr>
          <w:trHeight w:val="742"/>
        </w:trPr>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pPr>
            <w:r>
              <w:rPr>
                <w:sz w:val="20"/>
              </w:rPr>
              <w:t>Offre des conditions plus proches des conditions physiologiques naturelles pour les protéines d’eucaryotes supérieurs</w:t>
            </w:r>
            <w:r>
              <w:rPr>
                <w:color w:val="4472C4"/>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pPr>
            <w:r>
              <w:rPr>
                <w:sz w:val="20"/>
              </w:rPr>
              <w:t xml:space="preserve">Nécessité de tester la réciprocité </w:t>
            </w:r>
          </w:p>
        </w:tc>
      </w:tr>
      <w:tr w:rsidR="007F390C">
        <w:trPr>
          <w:trHeight w:val="254"/>
        </w:trPr>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pPr>
            <w:r>
              <w:rPr>
                <w:sz w:val="20"/>
              </w:rPr>
              <w:t>Test plus sensible que ceux réalisé in vitro</w:t>
            </w:r>
            <w:r>
              <w:rPr>
                <w:color w:val="4472C4"/>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pPr>
            <w:r>
              <w:rPr>
                <w:sz w:val="20"/>
              </w:rPr>
              <w:t>Technique qui peut échouer</w:t>
            </w:r>
            <w:r>
              <w:rPr>
                <w:color w:val="4472C4"/>
                <w:sz w:val="20"/>
              </w:rPr>
              <w:t xml:space="preserve"> </w:t>
            </w:r>
          </w:p>
        </w:tc>
      </w:tr>
      <w:tr w:rsidR="007F390C">
        <w:trPr>
          <w:trHeight w:val="742"/>
        </w:trPr>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ind w:right="20"/>
            </w:pPr>
            <w:r>
              <w:rPr>
                <w:sz w:val="20"/>
              </w:rPr>
              <w:t>Interactions transitoires de type enzyme-substrat ont été mise en évidence entre une protéine kinase et une cible hypothétique</w:t>
            </w:r>
            <w:r>
              <w:rPr>
                <w:color w:val="4472C4"/>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ind w:right="19"/>
            </w:pPr>
            <w:r>
              <w:rPr>
                <w:sz w:val="20"/>
              </w:rPr>
              <w:t>Si les interactions sont faibles dans voie de signalisation, interaction pas forcément visible sur les résultats</w:t>
            </w:r>
            <w:r>
              <w:rPr>
                <w:color w:val="4472C4"/>
                <w:sz w:val="20"/>
              </w:rPr>
              <w:t xml:space="preserve"> </w:t>
            </w:r>
          </w:p>
        </w:tc>
      </w:tr>
      <w:tr w:rsidR="007F390C">
        <w:trPr>
          <w:trHeight w:val="744"/>
        </w:trPr>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pPr>
            <w:r>
              <w:rPr>
                <w:color w:val="4472C4"/>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7F390C" w:rsidRDefault="00AF248E">
            <w:pPr>
              <w:spacing w:after="0"/>
            </w:pPr>
            <w:r>
              <w:rPr>
                <w:sz w:val="20"/>
              </w:rPr>
              <w:t>Technique à</w:t>
            </w:r>
            <w:r>
              <w:rPr>
                <w:sz w:val="20"/>
              </w:rPr>
              <w:t xml:space="preserve"> compléter car d’autres tel que la </w:t>
            </w:r>
            <w:proofErr w:type="spellStart"/>
            <w:r>
              <w:rPr>
                <w:sz w:val="20"/>
              </w:rPr>
              <w:t>coimmunoprécipitation</w:t>
            </w:r>
            <w:proofErr w:type="spellEnd"/>
            <w:r>
              <w:rPr>
                <w:sz w:val="20"/>
              </w:rPr>
              <w:t xml:space="preserve"> pour contrôler l’interaction des protéines</w:t>
            </w:r>
            <w:r>
              <w:rPr>
                <w:color w:val="4472C4"/>
                <w:sz w:val="20"/>
              </w:rPr>
              <w:t xml:space="preserve"> </w:t>
            </w:r>
          </w:p>
        </w:tc>
      </w:tr>
    </w:tbl>
    <w:p w:rsidR="007F390C" w:rsidRDefault="00AF248E">
      <w:pPr>
        <w:spacing w:after="0"/>
      </w:pPr>
      <w:r>
        <w:rPr>
          <w:sz w:val="24"/>
        </w:rPr>
        <w:t xml:space="preserve"> </w:t>
      </w:r>
    </w:p>
    <w:p w:rsidR="007F390C" w:rsidRDefault="00AF248E">
      <w:pPr>
        <w:spacing w:after="162"/>
      </w:pPr>
      <w:r>
        <w:rPr>
          <w:sz w:val="24"/>
        </w:rPr>
        <w:t xml:space="preserve"> </w:t>
      </w:r>
    </w:p>
    <w:p w:rsidR="007F390C" w:rsidRDefault="00AF248E">
      <w:pPr>
        <w:spacing w:after="159"/>
      </w:pPr>
      <w:r>
        <w:rPr>
          <w:sz w:val="24"/>
        </w:rPr>
        <w:lastRenderedPageBreak/>
        <w:t xml:space="preserve"> </w:t>
      </w:r>
    </w:p>
    <w:p w:rsidR="007F390C" w:rsidRDefault="00AF248E">
      <w:pPr>
        <w:spacing w:after="161"/>
      </w:pPr>
      <w:r>
        <w:rPr>
          <w:sz w:val="24"/>
        </w:rPr>
        <w:t xml:space="preserve"> </w:t>
      </w:r>
    </w:p>
    <w:p w:rsidR="007F390C" w:rsidRDefault="00AF248E">
      <w:pPr>
        <w:spacing w:after="159"/>
      </w:pPr>
      <w:r>
        <w:rPr>
          <w:sz w:val="24"/>
        </w:rPr>
        <w:t xml:space="preserve"> </w:t>
      </w:r>
    </w:p>
    <w:p w:rsidR="007F390C" w:rsidRDefault="00AF248E">
      <w:pPr>
        <w:spacing w:after="159"/>
      </w:pPr>
      <w:r>
        <w:rPr>
          <w:sz w:val="24"/>
        </w:rPr>
        <w:t xml:space="preserve"> </w:t>
      </w:r>
    </w:p>
    <w:p w:rsidR="007F390C" w:rsidRDefault="00AF248E">
      <w:pPr>
        <w:spacing w:after="113" w:line="391" w:lineRule="auto"/>
        <w:ind w:right="8965"/>
      </w:pPr>
      <w:r>
        <w:rPr>
          <w:sz w:val="24"/>
        </w:rPr>
        <w:t xml:space="preserve">   </w:t>
      </w:r>
    </w:p>
    <w:p w:rsidR="007F390C" w:rsidRDefault="00AF248E">
      <w:pPr>
        <w:spacing w:after="73"/>
      </w:pPr>
      <w:r>
        <w:rPr>
          <w:color w:val="4472C4"/>
          <w:sz w:val="36"/>
        </w:rPr>
        <w:t xml:space="preserve"> </w:t>
      </w:r>
    </w:p>
    <w:p w:rsidR="007F390C" w:rsidRDefault="00AF248E">
      <w:pPr>
        <w:shd w:val="clear" w:color="auto" w:fill="D9E2F3"/>
        <w:spacing w:after="0"/>
        <w:ind w:left="103" w:hanging="10"/>
      </w:pPr>
      <w:r>
        <w:rPr>
          <w:sz w:val="24"/>
        </w:rPr>
        <w:t>Sources</w:t>
      </w:r>
      <w:r>
        <w:rPr>
          <w:sz w:val="28"/>
        </w:rPr>
        <w:t xml:space="preserve"> </w:t>
      </w:r>
    </w:p>
    <w:p w:rsidR="007F390C" w:rsidRDefault="00AF248E">
      <w:pPr>
        <w:numPr>
          <w:ilvl w:val="0"/>
          <w:numId w:val="3"/>
        </w:numPr>
        <w:spacing w:after="158"/>
        <w:ind w:hanging="360"/>
      </w:pPr>
      <w:hyperlink r:id="rId8">
        <w:r>
          <w:rPr>
            <w:color w:val="0000FF"/>
            <w:u w:val="single" w:color="0000FF"/>
          </w:rPr>
          <w:t>https://fr.wikipedia.org/wiki/Double_hybride</w:t>
        </w:r>
      </w:hyperlink>
      <w:hyperlink r:id="rId9">
        <w:r>
          <w:t xml:space="preserve"> </w:t>
        </w:r>
      </w:hyperlink>
    </w:p>
    <w:p w:rsidR="007F390C" w:rsidRDefault="00AF248E">
      <w:pPr>
        <w:spacing w:after="192"/>
      </w:pPr>
      <w:r>
        <w:t xml:space="preserve"> </w:t>
      </w:r>
    </w:p>
    <w:p w:rsidR="007F390C" w:rsidRDefault="00AF248E">
      <w:pPr>
        <w:numPr>
          <w:ilvl w:val="0"/>
          <w:numId w:val="3"/>
        </w:numPr>
        <w:spacing w:after="0"/>
        <w:ind w:hanging="360"/>
      </w:pPr>
      <w:hyperlink r:id="rId10" w:anchor=":~:text=%20Double-Hybride%20%201%20Pr%C3%A9sentation.%20Localis%C3%A9e%20au%20sein,4%20Protocoles.%20%205%20Equipements.%20%20More%20">
        <w:r>
          <w:rPr>
            <w:color w:val="0000FF"/>
            <w:u w:val="single" w:color="0000FF"/>
          </w:rPr>
          <w:t>http://icim.marseille.inserm.fr/spip.php?article84#:~:text=%20Double</w:t>
        </w:r>
      </w:hyperlink>
      <w:hyperlink r:id="rId11" w:anchor=":~:text=%20Double-Hybride%20%201%20Pr%C3%A9sentation.%20Localis%C3%A9e%20au%20sein,4%20Protocoles.%20%205%20Equipements.%20%20More%20">
        <w:r>
          <w:rPr>
            <w:color w:val="0000FF"/>
            <w:u w:val="single" w:color="0000FF"/>
          </w:rPr>
          <w:t>-</w:t>
        </w:r>
      </w:hyperlink>
    </w:p>
    <w:p w:rsidR="007F390C" w:rsidRDefault="00AF248E">
      <w:pPr>
        <w:spacing w:after="0"/>
        <w:ind w:right="35"/>
        <w:jc w:val="right"/>
      </w:pPr>
      <w:hyperlink r:id="rId12" w:anchor=":~:text=%20Double-Hybride%20%201%20Pr%C3%A9sentation.%20Localis%C3%A9e%20au%20sein,4%20Protocoles.%20%205%20Equipements.%20%20More%20">
        <w:r>
          <w:rPr>
            <w:color w:val="0000FF"/>
            <w:u w:val="single" w:color="0000FF"/>
          </w:rPr>
          <w:t>Hybri</w:t>
        </w:r>
        <w:r>
          <w:rPr>
            <w:color w:val="0000FF"/>
            <w:u w:val="single" w:color="0000FF"/>
          </w:rPr>
          <w:t>de%20%201%20Pr%C3%A9sentation.%20Localis%C3%A9e%20au%20sein,4%20Protocoles</w:t>
        </w:r>
      </w:hyperlink>
    </w:p>
    <w:p w:rsidR="007F390C" w:rsidRDefault="00AF248E">
      <w:pPr>
        <w:spacing w:after="158"/>
        <w:ind w:left="512" w:hanging="10"/>
      </w:pPr>
      <w:hyperlink r:id="rId13" w:anchor=":~:text=%20Double-Hybride%20%201%20Pr%C3%A9sentation.%20Localis%C3%A9e%20au%20sein,4%20Protocoles.%20%205%20Equipements.%20%20More%20">
        <w:r>
          <w:rPr>
            <w:color w:val="0000FF"/>
            <w:u w:val="single" w:color="0000FF"/>
          </w:rPr>
          <w:t>.%20%205%20Equipements.%20%20More%20</w:t>
        </w:r>
      </w:hyperlink>
      <w:hyperlink r:id="rId14" w:anchor=":~:text=%20Double-Hybride%20%201%20Pr%C3%A9sentation.%20Localis%C3%A9e%20au%20sein,4%20Protocoles.%20%205%20Equipements.%20%20More%20">
        <w:r>
          <w:t xml:space="preserve"> </w:t>
        </w:r>
      </w:hyperlink>
    </w:p>
    <w:p w:rsidR="007F390C" w:rsidRDefault="00AF248E">
      <w:pPr>
        <w:spacing w:after="194"/>
      </w:pPr>
      <w:r>
        <w:t xml:space="preserve"> </w:t>
      </w:r>
    </w:p>
    <w:p w:rsidR="007F390C" w:rsidRDefault="00AF248E">
      <w:pPr>
        <w:numPr>
          <w:ilvl w:val="0"/>
          <w:numId w:val="3"/>
        </w:numPr>
        <w:spacing w:after="0"/>
        <w:ind w:hanging="360"/>
      </w:pPr>
      <w:hyperlink r:id="rId15">
        <w:r>
          <w:rPr>
            <w:color w:val="0000FF"/>
            <w:u w:val="single" w:color="0000FF"/>
          </w:rPr>
          <w:t>http://www.ipubli.inserm.fr/bitstream/handle/10608/2710/MS_1994_6</w:t>
        </w:r>
      </w:hyperlink>
      <w:hyperlink r:id="rId16">
        <w:r>
          <w:rPr>
            <w:color w:val="0000FF"/>
            <w:u w:val="single" w:color="0000FF"/>
          </w:rPr>
          <w:t>-</w:t>
        </w:r>
      </w:hyperlink>
    </w:p>
    <w:p w:rsidR="007F390C" w:rsidRDefault="00AF248E">
      <w:pPr>
        <w:spacing w:after="0"/>
        <w:ind w:left="512" w:hanging="10"/>
      </w:pPr>
      <w:hyperlink r:id="rId17">
        <w:r>
          <w:rPr>
            <w:color w:val="0000FF"/>
            <w:u w:val="single" w:color="0000FF"/>
          </w:rPr>
          <w:t>7_I.pdf?sequence=1&amp;isAllowed=y</w:t>
        </w:r>
      </w:hyperlink>
      <w:hyperlink r:id="rId18">
        <w:r>
          <w:t xml:space="preserve"> </w:t>
        </w:r>
      </w:hyperlink>
    </w:p>
    <w:p w:rsidR="007F390C" w:rsidRDefault="00AF248E">
      <w:pPr>
        <w:spacing w:after="0"/>
        <w:ind w:left="720"/>
      </w:pPr>
      <w:r>
        <w:t xml:space="preserve"> </w:t>
      </w:r>
    </w:p>
    <w:p w:rsidR="007F390C" w:rsidRDefault="00AF248E">
      <w:pPr>
        <w:spacing w:after="55"/>
        <w:ind w:left="720"/>
      </w:pPr>
      <w:r>
        <w:t xml:space="preserve"> </w:t>
      </w:r>
    </w:p>
    <w:p w:rsidR="007F390C" w:rsidRDefault="00AF248E">
      <w:pPr>
        <w:numPr>
          <w:ilvl w:val="0"/>
          <w:numId w:val="3"/>
        </w:numPr>
        <w:spacing w:after="0" w:line="260" w:lineRule="auto"/>
        <w:ind w:hanging="360"/>
      </w:pPr>
      <w:r>
        <w:rPr>
          <w:sz w:val="24"/>
        </w:rPr>
        <w:t xml:space="preserve">Médecine/Science Juin-juillet 1994 - Anne Plessis, Jacques H. </w:t>
      </w:r>
      <w:proofErr w:type="spellStart"/>
      <w:r>
        <w:rPr>
          <w:sz w:val="24"/>
        </w:rPr>
        <w:t>Camonis</w:t>
      </w:r>
      <w:proofErr w:type="spellEnd"/>
      <w:r>
        <w:rPr>
          <w:sz w:val="24"/>
        </w:rPr>
        <w:t xml:space="preserve">. Le système double-hybride, mode d'emploi. MÉDECINE/SCIENCES 10 (6-7) : I - IX. </w:t>
      </w:r>
    </w:p>
    <w:sectPr w:rsidR="007F390C">
      <w:pgSz w:w="11906" w:h="16838"/>
      <w:pgMar w:top="1040" w:right="1415" w:bottom="161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0304B"/>
    <w:multiLevelType w:val="hybridMultilevel"/>
    <w:tmpl w:val="D84A4F80"/>
    <w:lvl w:ilvl="0" w:tplc="4A7492F6">
      <w:start w:val="1"/>
      <w:numFmt w:val="decimal"/>
      <w:lvlText w:val="%1."/>
      <w:lvlJc w:val="left"/>
      <w:pPr>
        <w:ind w:left="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B16E1D4">
      <w:start w:val="1"/>
      <w:numFmt w:val="lowerLetter"/>
      <w:lvlText w:val="%2"/>
      <w:lvlJc w:val="left"/>
      <w:pPr>
        <w:ind w:left="15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7B2D9AC">
      <w:start w:val="1"/>
      <w:numFmt w:val="lowerRoman"/>
      <w:lvlText w:val="%3"/>
      <w:lvlJc w:val="left"/>
      <w:pPr>
        <w:ind w:left="22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0DE665C">
      <w:start w:val="1"/>
      <w:numFmt w:val="decimal"/>
      <w:lvlText w:val="%4"/>
      <w:lvlJc w:val="left"/>
      <w:pPr>
        <w:ind w:left="29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7E29ECC">
      <w:start w:val="1"/>
      <w:numFmt w:val="lowerLetter"/>
      <w:lvlText w:val="%5"/>
      <w:lvlJc w:val="left"/>
      <w:pPr>
        <w:ind w:left="37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786E65C">
      <w:start w:val="1"/>
      <w:numFmt w:val="lowerRoman"/>
      <w:lvlText w:val="%6"/>
      <w:lvlJc w:val="left"/>
      <w:pPr>
        <w:ind w:left="44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9BA43A4">
      <w:start w:val="1"/>
      <w:numFmt w:val="decimal"/>
      <w:lvlText w:val="%7"/>
      <w:lvlJc w:val="left"/>
      <w:pPr>
        <w:ind w:left="51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BCA450">
      <w:start w:val="1"/>
      <w:numFmt w:val="lowerLetter"/>
      <w:lvlText w:val="%8"/>
      <w:lvlJc w:val="left"/>
      <w:pPr>
        <w:ind w:left="5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00C8152">
      <w:start w:val="1"/>
      <w:numFmt w:val="lowerRoman"/>
      <w:lvlText w:val="%9"/>
      <w:lvlJc w:val="left"/>
      <w:pPr>
        <w:ind w:left="6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8758C8"/>
    <w:multiLevelType w:val="hybridMultilevel"/>
    <w:tmpl w:val="8EB2DD82"/>
    <w:lvl w:ilvl="0" w:tplc="7514DE0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A0BD5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42D19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4433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4C6ED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7EAB6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B4200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F63CC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5C012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111673"/>
    <w:multiLevelType w:val="hybridMultilevel"/>
    <w:tmpl w:val="F1503986"/>
    <w:lvl w:ilvl="0" w:tplc="2A44B5F4">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A639FA">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42A528">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621C4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307376">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C30A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DC0E6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30454E">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22E188">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0C"/>
    <w:rsid w:val="007F390C"/>
    <w:rsid w:val="00A76687"/>
    <w:rsid w:val="00AF248E"/>
    <w:rsid w:val="00DB26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E79C"/>
  <w15:docId w15:val="{F8FCF291-4641-427D-9428-C73E36F7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9"/>
      <w:outlineLvl w:val="0"/>
    </w:pPr>
    <w:rPr>
      <w:rFonts w:ascii="Calibri" w:eastAsia="Calibri" w:hAnsi="Calibri" w:cs="Calibri"/>
      <w:color w:val="4472C4"/>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4472C4"/>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r.wikipedia.org/wiki/Double_hybride" TargetMode="External"/><Relationship Id="rId13" Type="http://schemas.openxmlformats.org/officeDocument/2006/relationships/hyperlink" Target="http://icim.marseille.inserm.fr/spip.php?article84" TargetMode="External"/><Relationship Id="rId18" Type="http://schemas.openxmlformats.org/officeDocument/2006/relationships/hyperlink" Target="http://www.ipubli.inserm.fr/bitstream/handle/10608/2710/MS_1994_6-7_I.pdf?sequence=1&amp;isAllowed=y"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icim.marseille.inserm.fr/spip.php?article84" TargetMode="External"/><Relationship Id="rId17" Type="http://schemas.openxmlformats.org/officeDocument/2006/relationships/hyperlink" Target="http://www.ipubli.inserm.fr/bitstream/handle/10608/2710/MS_1994_6-7_I.pdf?sequence=1&amp;isAllowed=y" TargetMode="External"/><Relationship Id="rId2" Type="http://schemas.openxmlformats.org/officeDocument/2006/relationships/styles" Target="styles.xml"/><Relationship Id="rId16" Type="http://schemas.openxmlformats.org/officeDocument/2006/relationships/hyperlink" Target="http://www.ipubli.inserm.fr/bitstream/handle/10608/2710/MS_1994_6-7_I.pdf?sequence=1&amp;isAllowed=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icim.marseille.inserm.fr/spip.php?article84" TargetMode="External"/><Relationship Id="rId5" Type="http://schemas.openxmlformats.org/officeDocument/2006/relationships/image" Target="media/image1.jpg"/><Relationship Id="rId15" Type="http://schemas.openxmlformats.org/officeDocument/2006/relationships/hyperlink" Target="http://www.ipubli.inserm.fr/bitstream/handle/10608/2710/MS_1994_6-7_I.pdf?sequence=1&amp;isAllowed=y" TargetMode="External"/><Relationship Id="rId10" Type="http://schemas.openxmlformats.org/officeDocument/2006/relationships/hyperlink" Target="http://icim.marseille.inserm.fr/spip.php?article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Double_hybride" TargetMode="External"/><Relationship Id="rId14" Type="http://schemas.openxmlformats.org/officeDocument/2006/relationships/hyperlink" Target="http://icim.marseille.inserm.fr/spip.php?article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815</Words>
  <Characters>4488</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chloë lecompte</dc:creator>
  <cp:keywords/>
  <cp:lastModifiedBy>Etudiant</cp:lastModifiedBy>
  <cp:revision>4</cp:revision>
  <dcterms:created xsi:type="dcterms:W3CDTF">2023-12-16T21:16:00Z</dcterms:created>
  <dcterms:modified xsi:type="dcterms:W3CDTF">2023-12-16T21:17:00Z</dcterms:modified>
</cp:coreProperties>
</file>