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867" w:rsidRDefault="00E47BB1">
      <w:pPr>
        <w:pStyle w:val="Titre1"/>
        <w:jc w:val="center"/>
        <w:rPr>
          <w:rFonts w:asciiTheme="minorHAnsi" w:hAnsiTheme="minorHAnsi" w:cstheme="minorHAnsi"/>
          <w:b/>
          <w:color w:val="FF0000"/>
          <w:sz w:val="36"/>
          <w:szCs w:val="36"/>
        </w:rPr>
      </w:pPr>
      <w:r w:rsidRPr="00806117">
        <w:rPr>
          <w:rFonts w:asciiTheme="minorHAnsi" w:hAnsiTheme="minorHAnsi" w:cstheme="minorHAnsi"/>
          <w:b/>
          <w:color w:val="FF0000"/>
          <w:sz w:val="36"/>
          <w:szCs w:val="36"/>
        </w:rPr>
        <w:t>Test E</w:t>
      </w:r>
      <w:r w:rsidR="00595FCF">
        <w:rPr>
          <w:rFonts w:asciiTheme="minorHAnsi" w:hAnsiTheme="minorHAnsi" w:cstheme="minorHAnsi"/>
          <w:b/>
          <w:color w:val="FF0000"/>
          <w:sz w:val="36"/>
          <w:szCs w:val="36"/>
        </w:rPr>
        <w:t>LISA</w:t>
      </w:r>
    </w:p>
    <w:p w:rsidR="00806117" w:rsidRPr="00806117" w:rsidRDefault="00806117" w:rsidP="00806117"/>
    <w:p w:rsidR="00DE4867" w:rsidRPr="00806117" w:rsidRDefault="00806117">
      <w:pPr>
        <w:rPr>
          <w:color w:val="44546A" w:themeColor="text2"/>
          <w:sz w:val="32"/>
          <w:szCs w:val="32"/>
          <w:u w:val="single"/>
        </w:rPr>
      </w:pPr>
      <w:r w:rsidRPr="001F0414">
        <w:rPr>
          <w:color w:val="44546A" w:themeColor="text2"/>
          <w:sz w:val="32"/>
          <w:szCs w:val="32"/>
          <w:u w:val="single"/>
        </w:rPr>
        <w:t xml:space="preserve">Qu’est-ce que le </w:t>
      </w:r>
      <w:r>
        <w:rPr>
          <w:color w:val="44546A" w:themeColor="text2"/>
          <w:sz w:val="32"/>
          <w:szCs w:val="32"/>
          <w:u w:val="single"/>
        </w:rPr>
        <w:t>test ELISA</w:t>
      </w:r>
      <w:r w:rsidRPr="001F0414">
        <w:rPr>
          <w:color w:val="44546A" w:themeColor="text2"/>
          <w:sz w:val="32"/>
          <w:szCs w:val="32"/>
          <w:u w:val="single"/>
        </w:rPr>
        <w:t> ?</w:t>
      </w:r>
    </w:p>
    <w:p w:rsidR="00806117" w:rsidRDefault="00806117">
      <w:pPr>
        <w:jc w:val="both"/>
        <w:rPr>
          <w:rFonts w:asciiTheme="minorHAnsi" w:hAnsiTheme="minorHAnsi" w:cstheme="minorHAnsi"/>
        </w:rPr>
      </w:pPr>
      <w:r w:rsidRPr="00806117">
        <w:rPr>
          <w:rFonts w:asciiTheme="minorHAnsi" w:hAnsiTheme="minorHAnsi" w:cstheme="minorHAnsi"/>
        </w:rPr>
        <w:t xml:space="preserve">Le test Elisa ("Enzyme </w:t>
      </w:r>
      <w:proofErr w:type="spellStart"/>
      <w:r w:rsidRPr="00806117">
        <w:rPr>
          <w:rFonts w:asciiTheme="minorHAnsi" w:hAnsiTheme="minorHAnsi" w:cstheme="minorHAnsi"/>
        </w:rPr>
        <w:t>Linked</w:t>
      </w:r>
      <w:proofErr w:type="spellEnd"/>
      <w:r w:rsidRPr="00806117">
        <w:rPr>
          <w:rFonts w:asciiTheme="minorHAnsi" w:hAnsiTheme="minorHAnsi" w:cstheme="minorHAnsi"/>
        </w:rPr>
        <w:t xml:space="preserve"> </w:t>
      </w:r>
      <w:proofErr w:type="spellStart"/>
      <w:r w:rsidRPr="00806117">
        <w:rPr>
          <w:rFonts w:asciiTheme="minorHAnsi" w:hAnsiTheme="minorHAnsi" w:cstheme="minorHAnsi"/>
        </w:rPr>
        <w:t>ImmunoSorbent</w:t>
      </w:r>
      <w:proofErr w:type="spellEnd"/>
      <w:r w:rsidRPr="00806117">
        <w:rPr>
          <w:rFonts w:asciiTheme="minorHAnsi" w:hAnsiTheme="minorHAnsi" w:cstheme="minorHAnsi"/>
        </w:rPr>
        <w:t xml:space="preserve"> </w:t>
      </w:r>
      <w:proofErr w:type="spellStart"/>
      <w:r w:rsidRPr="00806117">
        <w:rPr>
          <w:rFonts w:asciiTheme="minorHAnsi" w:hAnsiTheme="minorHAnsi" w:cstheme="minorHAnsi"/>
        </w:rPr>
        <w:t>Assay</w:t>
      </w:r>
      <w:proofErr w:type="spellEnd"/>
      <w:r w:rsidRPr="00806117">
        <w:rPr>
          <w:rFonts w:asciiTheme="minorHAnsi" w:hAnsiTheme="minorHAnsi" w:cstheme="minorHAnsi"/>
        </w:rPr>
        <w:t xml:space="preserve">") est une technique </w:t>
      </w:r>
      <w:proofErr w:type="spellStart"/>
      <w:r w:rsidRPr="00806117">
        <w:rPr>
          <w:rFonts w:asciiTheme="minorHAnsi" w:hAnsiTheme="minorHAnsi" w:cstheme="minorHAnsi"/>
        </w:rPr>
        <w:t>immuno</w:t>
      </w:r>
      <w:proofErr w:type="spellEnd"/>
      <w:r w:rsidRPr="00806117">
        <w:rPr>
          <w:rFonts w:asciiTheme="minorHAnsi" w:hAnsiTheme="minorHAnsi" w:cstheme="minorHAnsi"/>
        </w:rPr>
        <w:t>-enzymatique permettant de détecter une réaction anticorps-antigène, grâce à une coloration produite par une enzyme (couplée à l'anticorps secondaire) en lui fournissant son substrat. Le test Elisa est utilisé en immunologie afin de détecter la présence d'un anticorps ou d'un antigène dans un échantillon. Cette méthode est également employée pour évaluer la concentration de ces éléments dans l'échantillon, faisant du test Elisa un outil précieux dans le domaine de l'immunologie pour l'analyse quantitative des réponses immunitaires.</w:t>
      </w:r>
    </w:p>
    <w:p w:rsidR="00595FCF" w:rsidRDefault="00595FCF" w:rsidP="00595FCF">
      <w:pPr>
        <w:pStyle w:val="Titre1"/>
        <w:jc w:val="both"/>
        <w:rPr>
          <w:rFonts w:asciiTheme="minorHAnsi" w:hAnsiTheme="minorHAnsi" w:cstheme="minorHAnsi"/>
          <w:color w:val="44546A" w:themeColor="text2"/>
          <w:u w:val="single"/>
        </w:rPr>
      </w:pPr>
      <w:r w:rsidRPr="001F0414">
        <w:rPr>
          <w:rFonts w:asciiTheme="minorHAnsi" w:hAnsiTheme="minorHAnsi" w:cstheme="minorHAnsi"/>
          <w:color w:val="44546A" w:themeColor="text2"/>
          <w:u w:val="single"/>
        </w:rPr>
        <w:t>Quels sont les différentes étapes</w:t>
      </w:r>
      <w:r>
        <w:rPr>
          <w:rFonts w:asciiTheme="minorHAnsi" w:hAnsiTheme="minorHAnsi" w:cstheme="minorHAnsi"/>
          <w:color w:val="44546A" w:themeColor="text2"/>
          <w:u w:val="single"/>
        </w:rPr>
        <w:t xml:space="preserve"> principale d’un test ELISA</w:t>
      </w:r>
      <w:r w:rsidRPr="001F0414">
        <w:rPr>
          <w:rFonts w:asciiTheme="minorHAnsi" w:hAnsiTheme="minorHAnsi" w:cstheme="minorHAnsi"/>
          <w:color w:val="44546A" w:themeColor="text2"/>
          <w:u w:val="single"/>
        </w:rPr>
        <w:t> ?</w:t>
      </w:r>
    </w:p>
    <w:p w:rsidR="00595FCF" w:rsidRPr="00595FCF" w:rsidRDefault="00595FCF" w:rsidP="00595FCF"/>
    <w:p w:rsidR="00595FCF" w:rsidRDefault="00595FCF" w:rsidP="00595FCF">
      <w:pPr>
        <w:jc w:val="center"/>
      </w:pPr>
      <w:r>
        <w:rPr>
          <w:noProof/>
        </w:rPr>
        <w:drawing>
          <wp:inline distT="0" distB="0" distL="0" distR="0" wp14:anchorId="3E435DF1" wp14:editId="3977ADCF">
            <wp:extent cx="2995295" cy="425069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9"/>
                    <a:srcRect/>
                    <a:stretch>
                      <a:fillRect/>
                    </a:stretch>
                  </pic:blipFill>
                  <pic:spPr>
                    <a:xfrm>
                      <a:off x="0" y="0"/>
                      <a:ext cx="2995295" cy="4250690"/>
                    </a:xfrm>
                    <a:prstGeom prst="rect">
                      <a:avLst/>
                    </a:prstGeom>
                    <a:ln/>
                  </pic:spPr>
                </pic:pic>
              </a:graphicData>
            </a:graphic>
          </wp:inline>
        </w:drawing>
      </w:r>
    </w:p>
    <w:p w:rsidR="00595FCF" w:rsidRDefault="00595FCF" w:rsidP="00595FCF">
      <w:pPr>
        <w:spacing w:before="100" w:after="200"/>
        <w:jc w:val="center"/>
      </w:pPr>
      <w:r>
        <w:t xml:space="preserve">Figure </w:t>
      </w:r>
      <w:r>
        <w:t>1 :</w:t>
      </w:r>
      <w:r>
        <w:t xml:space="preserve"> Schéma représentant les</w:t>
      </w:r>
      <w:r>
        <w:t xml:space="preserve"> différentes</w:t>
      </w:r>
      <w:r>
        <w:t xml:space="preserve"> étapes du test Elisa</w:t>
      </w:r>
    </w:p>
    <w:p w:rsidR="00595FCF" w:rsidRDefault="00595FCF" w:rsidP="00595FCF">
      <w:pPr>
        <w:jc w:val="center"/>
      </w:pPr>
    </w:p>
    <w:p w:rsidR="00595FCF" w:rsidRDefault="00595FCF" w:rsidP="00595FCF">
      <w:pPr>
        <w:jc w:val="center"/>
      </w:pPr>
    </w:p>
    <w:p w:rsidR="00595FCF" w:rsidRPr="00595FCF" w:rsidRDefault="00595FCF" w:rsidP="00595FCF">
      <w:pPr>
        <w:jc w:val="center"/>
      </w:pPr>
    </w:p>
    <w:p w:rsidR="00595FCF" w:rsidRPr="00806117" w:rsidRDefault="00595FCF">
      <w:pPr>
        <w:jc w:val="both"/>
        <w:rPr>
          <w:rFonts w:asciiTheme="minorHAnsi" w:eastAsia="Arial" w:hAnsiTheme="minorHAnsi" w:cstheme="minorHAnsi"/>
          <w:sz w:val="21"/>
          <w:szCs w:val="21"/>
          <w:highlight w:val="white"/>
        </w:rPr>
      </w:pPr>
    </w:p>
    <w:p w:rsidR="00DE4867" w:rsidRDefault="00E47BB1">
      <w:pPr>
        <w:rPr>
          <w:rFonts w:ascii="Arial" w:eastAsia="Arial" w:hAnsi="Arial" w:cs="Arial"/>
          <w:color w:val="222222"/>
          <w:sz w:val="21"/>
          <w:szCs w:val="21"/>
          <w:highlight w:val="white"/>
        </w:rPr>
      </w:pPr>
      <w:r>
        <w:rPr>
          <w:rFonts w:ascii="Arial" w:eastAsia="Arial" w:hAnsi="Arial" w:cs="Arial"/>
          <w:color w:val="222222"/>
          <w:sz w:val="21"/>
          <w:szCs w:val="21"/>
          <w:highlight w:val="white"/>
        </w:rPr>
        <w:t>Il existe</w:t>
      </w:r>
      <w:r w:rsidR="00806117">
        <w:rPr>
          <w:rFonts w:ascii="Arial" w:eastAsia="Arial" w:hAnsi="Arial" w:cs="Arial"/>
          <w:color w:val="222222"/>
          <w:sz w:val="21"/>
          <w:szCs w:val="21"/>
          <w:highlight w:val="white"/>
        </w:rPr>
        <w:t xml:space="preserve"> quatre</w:t>
      </w:r>
      <w:r>
        <w:rPr>
          <w:rFonts w:ascii="Arial" w:eastAsia="Arial" w:hAnsi="Arial" w:cs="Arial"/>
          <w:color w:val="222222"/>
          <w:sz w:val="21"/>
          <w:szCs w:val="21"/>
          <w:highlight w:val="white"/>
        </w:rPr>
        <w:t xml:space="preserve"> différentes méthodes pour le test Elisa :</w:t>
      </w:r>
    </w:p>
    <w:p w:rsidR="00806117" w:rsidRDefault="00806117" w:rsidP="00806117">
      <w:pPr>
        <w:jc w:val="center"/>
        <w:rPr>
          <w:rFonts w:ascii="Arial" w:eastAsia="Arial" w:hAnsi="Arial" w:cs="Arial"/>
          <w:color w:val="222222"/>
          <w:sz w:val="21"/>
          <w:szCs w:val="21"/>
          <w:highlight w:val="white"/>
        </w:rPr>
      </w:pPr>
    </w:p>
    <w:p w:rsidR="00DE4867" w:rsidRPr="00E3595E" w:rsidRDefault="00E47BB1">
      <w:pPr>
        <w:pStyle w:val="Sous-titre"/>
        <w:numPr>
          <w:ilvl w:val="0"/>
          <w:numId w:val="2"/>
        </w:numPr>
        <w:rPr>
          <w:color w:val="44546A" w:themeColor="text2"/>
          <w:highlight w:val="white"/>
        </w:rPr>
      </w:pPr>
      <w:r w:rsidRPr="00E3595E">
        <w:rPr>
          <w:color w:val="44546A" w:themeColor="text2"/>
          <w:sz w:val="32"/>
          <w:szCs w:val="32"/>
        </w:rPr>
        <w:t>Méthode indirecte :</w:t>
      </w:r>
      <w:r w:rsidRPr="00E3595E">
        <w:rPr>
          <w:color w:val="44546A" w:themeColor="text2"/>
          <w:highlight w:val="white"/>
        </w:rPr>
        <w:t xml:space="preserve">  </w:t>
      </w:r>
    </w:p>
    <w:p w:rsidR="00DE4867" w:rsidRDefault="00E47BB1">
      <w:pPr>
        <w:jc w:val="both"/>
        <w:rPr>
          <w:rFonts w:ascii="Arial" w:eastAsia="Arial" w:hAnsi="Arial" w:cs="Arial"/>
          <w:color w:val="222222"/>
          <w:sz w:val="21"/>
          <w:szCs w:val="21"/>
          <w:highlight w:val="white"/>
        </w:rPr>
      </w:pPr>
      <w:proofErr w:type="spellStart"/>
      <w:r>
        <w:rPr>
          <w:rFonts w:ascii="Arial" w:eastAsia="Arial" w:hAnsi="Arial" w:cs="Arial"/>
          <w:b/>
          <w:color w:val="222222"/>
          <w:sz w:val="21"/>
          <w:szCs w:val="21"/>
          <w:highlight w:val="white"/>
        </w:rPr>
        <w:t>Coating</w:t>
      </w:r>
      <w:proofErr w:type="spellEnd"/>
      <w:r>
        <w:rPr>
          <w:rFonts w:ascii="Arial" w:eastAsia="Arial" w:hAnsi="Arial" w:cs="Arial"/>
          <w:b/>
          <w:color w:val="222222"/>
          <w:sz w:val="21"/>
          <w:szCs w:val="21"/>
          <w:highlight w:val="white"/>
        </w:rPr>
        <w:t> :</w:t>
      </w:r>
      <w:r>
        <w:rPr>
          <w:rFonts w:ascii="Arial" w:eastAsia="Arial" w:hAnsi="Arial" w:cs="Arial"/>
          <w:color w:val="222222"/>
          <w:sz w:val="21"/>
          <w:szCs w:val="21"/>
          <w:highlight w:val="white"/>
        </w:rPr>
        <w:t xml:space="preserve"> Fixation électrostatique d’une solution d’antigène sur le fond de puits.</w:t>
      </w:r>
    </w:p>
    <w:p w:rsidR="00DE4867" w:rsidRDefault="00E47BB1">
      <w:pPr>
        <w:jc w:val="both"/>
        <w:rPr>
          <w:rFonts w:ascii="Arial" w:eastAsia="Arial" w:hAnsi="Arial" w:cs="Arial"/>
          <w:color w:val="222222"/>
          <w:sz w:val="21"/>
          <w:szCs w:val="21"/>
          <w:highlight w:val="white"/>
        </w:rPr>
      </w:pPr>
      <w:r>
        <w:rPr>
          <w:rFonts w:ascii="Arial" w:eastAsia="Arial" w:hAnsi="Arial" w:cs="Arial"/>
          <w:b/>
          <w:color w:val="222222"/>
          <w:sz w:val="21"/>
          <w:szCs w:val="21"/>
          <w:highlight w:val="white"/>
        </w:rPr>
        <w:t>Fixation :</w:t>
      </w:r>
      <w:r>
        <w:rPr>
          <w:rFonts w:ascii="Arial" w:eastAsia="Arial" w:hAnsi="Arial" w:cs="Arial"/>
          <w:color w:val="222222"/>
          <w:sz w:val="21"/>
          <w:szCs w:val="21"/>
          <w:highlight w:val="white"/>
        </w:rPr>
        <w:t xml:space="preserve"> Des anticorps de dosage sont ensuite incorporés dans la solution, afin de se lier aux antigènes de manière spécifique. Le lavage qui suit permet d’éliminer les anticorps non liés. </w:t>
      </w:r>
    </w:p>
    <w:p w:rsidR="00DE4867" w:rsidRDefault="00E47BB1">
      <w:pPr>
        <w:jc w:val="both"/>
        <w:rPr>
          <w:rFonts w:ascii="Arial" w:eastAsia="Arial" w:hAnsi="Arial" w:cs="Arial"/>
          <w:color w:val="222222"/>
          <w:sz w:val="21"/>
          <w:szCs w:val="21"/>
          <w:highlight w:val="white"/>
        </w:rPr>
      </w:pPr>
      <w:r>
        <w:rPr>
          <w:rFonts w:ascii="Arial" w:eastAsia="Arial" w:hAnsi="Arial" w:cs="Arial"/>
          <w:color w:val="222222"/>
          <w:sz w:val="21"/>
          <w:szCs w:val="21"/>
          <w:highlight w:val="white"/>
        </w:rPr>
        <w:t xml:space="preserve">Des anticorps de détection (anticorps secondaires) sont ensuite ajoutés. Liés à une enzyme (peroxydase), ils vont se lier spécifiquement aux anticorps de dosage (anticorps primaires). </w:t>
      </w:r>
    </w:p>
    <w:p w:rsidR="00DE4867" w:rsidRDefault="00E47BB1">
      <w:pPr>
        <w:jc w:val="both"/>
        <w:rPr>
          <w:rFonts w:ascii="Arial" w:eastAsia="Arial" w:hAnsi="Arial" w:cs="Arial"/>
          <w:color w:val="222222"/>
          <w:sz w:val="21"/>
          <w:szCs w:val="21"/>
          <w:highlight w:val="white"/>
        </w:rPr>
      </w:pPr>
      <w:r>
        <w:rPr>
          <w:rFonts w:ascii="Arial" w:eastAsia="Arial" w:hAnsi="Arial" w:cs="Arial"/>
          <w:b/>
          <w:color w:val="222222"/>
          <w:sz w:val="21"/>
          <w:szCs w:val="21"/>
          <w:highlight w:val="white"/>
        </w:rPr>
        <w:t>Révélation :</w:t>
      </w:r>
      <w:r>
        <w:rPr>
          <w:rFonts w:ascii="Arial" w:eastAsia="Arial" w:hAnsi="Arial" w:cs="Arial"/>
          <w:color w:val="222222"/>
          <w:sz w:val="21"/>
          <w:szCs w:val="21"/>
          <w:highlight w:val="white"/>
        </w:rPr>
        <w:t xml:space="preserve"> Une solution contenant le substrat est ajoutée, se liant à l’enzyme pour créer une coloration bleue. Selon l’intensité de cette dernière, il est possible de connaître la quantité d’enzyme dans la solution, et donc des anticorps.</w:t>
      </w:r>
    </w:p>
    <w:p w:rsidR="00DE4867" w:rsidRDefault="00DE4867">
      <w:pPr>
        <w:rPr>
          <w:rFonts w:ascii="Arial" w:eastAsia="Arial" w:hAnsi="Arial" w:cs="Arial"/>
          <w:color w:val="222222"/>
          <w:sz w:val="21"/>
          <w:szCs w:val="21"/>
          <w:highlight w:val="white"/>
        </w:rPr>
      </w:pPr>
    </w:p>
    <w:p w:rsidR="00DE4867" w:rsidRDefault="00806117" w:rsidP="00806117">
      <w:pPr>
        <w:jc w:val="center"/>
        <w:rPr>
          <w:rFonts w:ascii="Arial" w:eastAsia="Arial" w:hAnsi="Arial" w:cs="Arial"/>
          <w:color w:val="222222"/>
          <w:sz w:val="21"/>
          <w:szCs w:val="21"/>
          <w:highlight w:val="white"/>
        </w:rPr>
      </w:pPr>
      <w:r>
        <w:rPr>
          <w:noProof/>
        </w:rPr>
        <w:drawing>
          <wp:inline distT="0" distB="0" distL="0" distR="0" wp14:anchorId="7D8F98EC" wp14:editId="2D3C0FBE">
            <wp:extent cx="5760720" cy="21088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108835"/>
                    </a:xfrm>
                    <a:prstGeom prst="rect">
                      <a:avLst/>
                    </a:prstGeom>
                  </pic:spPr>
                </pic:pic>
              </a:graphicData>
            </a:graphic>
          </wp:inline>
        </w:drawing>
      </w:r>
    </w:p>
    <w:p w:rsidR="00DE4867" w:rsidRDefault="00E47BB1">
      <w:pPr>
        <w:jc w:val="center"/>
        <w:rPr>
          <w:rFonts w:ascii="Arial" w:eastAsia="Arial" w:hAnsi="Arial" w:cs="Arial"/>
          <w:i/>
          <w:color w:val="222222"/>
          <w:sz w:val="18"/>
          <w:szCs w:val="18"/>
          <w:highlight w:val="white"/>
        </w:rPr>
      </w:pPr>
      <w:proofErr w:type="spellStart"/>
      <w:r>
        <w:rPr>
          <w:rFonts w:ascii="Arial" w:eastAsia="Arial" w:hAnsi="Arial" w:cs="Arial"/>
          <w:i/>
          <w:color w:val="222222"/>
          <w:sz w:val="18"/>
          <w:szCs w:val="18"/>
          <w:highlight w:val="white"/>
        </w:rPr>
        <w:t>Fig</w:t>
      </w:r>
      <w:proofErr w:type="spellEnd"/>
      <w:r>
        <w:rPr>
          <w:rFonts w:ascii="Arial" w:eastAsia="Arial" w:hAnsi="Arial" w:cs="Arial"/>
          <w:i/>
          <w:color w:val="222222"/>
          <w:sz w:val="18"/>
          <w:szCs w:val="18"/>
          <w:highlight w:val="white"/>
        </w:rPr>
        <w:t xml:space="preserve"> 1. Schéma du test Elisa indirect (</w:t>
      </w:r>
      <w:proofErr w:type="spellStart"/>
      <w:r>
        <w:rPr>
          <w:rFonts w:ascii="Arial" w:eastAsia="Arial" w:hAnsi="Arial" w:cs="Arial"/>
          <w:i/>
          <w:color w:val="222222"/>
          <w:sz w:val="18"/>
          <w:szCs w:val="18"/>
          <w:highlight w:val="white"/>
        </w:rPr>
        <w:t>bioutils</w:t>
      </w:r>
      <w:proofErr w:type="spellEnd"/>
      <w:r>
        <w:rPr>
          <w:rFonts w:ascii="Arial" w:eastAsia="Arial" w:hAnsi="Arial" w:cs="Arial"/>
          <w:i/>
          <w:color w:val="222222"/>
          <w:sz w:val="18"/>
          <w:szCs w:val="18"/>
          <w:highlight w:val="white"/>
        </w:rPr>
        <w:t>).</w:t>
      </w:r>
    </w:p>
    <w:p w:rsidR="00DE4867" w:rsidRDefault="00E47BB1">
      <w:pPr>
        <w:numPr>
          <w:ilvl w:val="0"/>
          <w:numId w:val="3"/>
        </w:numPr>
        <w:pBdr>
          <w:top w:val="nil"/>
          <w:left w:val="nil"/>
          <w:bottom w:val="nil"/>
          <w:right w:val="nil"/>
          <w:between w:val="nil"/>
        </w:pBdr>
      </w:pPr>
      <w:r w:rsidRPr="00E3595E">
        <w:rPr>
          <w:color w:val="44546A" w:themeColor="text2"/>
          <w:sz w:val="32"/>
          <w:szCs w:val="32"/>
        </w:rPr>
        <w:t>Méthode du sandwich :</w:t>
      </w:r>
      <w:r w:rsidRPr="00E3595E">
        <w:rPr>
          <w:rFonts w:ascii="Arial" w:eastAsia="Arial" w:hAnsi="Arial" w:cs="Arial"/>
          <w:b/>
          <w:color w:val="44546A" w:themeColor="text2"/>
          <w:sz w:val="21"/>
          <w:szCs w:val="21"/>
          <w:highlight w:val="white"/>
        </w:rPr>
        <w:t xml:space="preserve"> </w:t>
      </w:r>
      <w:r>
        <w:rPr>
          <w:rFonts w:ascii="Arial" w:eastAsia="Arial" w:hAnsi="Arial" w:cs="Arial"/>
          <w:i/>
          <w:color w:val="222222"/>
          <w:sz w:val="21"/>
          <w:szCs w:val="21"/>
          <w:highlight w:val="white"/>
        </w:rPr>
        <w:t>Permet le dosage d’antigène.</w:t>
      </w:r>
    </w:p>
    <w:p w:rsidR="00DE4867" w:rsidRDefault="00E47BB1">
      <w:pPr>
        <w:jc w:val="both"/>
        <w:rPr>
          <w:rFonts w:ascii="Arial" w:eastAsia="Arial" w:hAnsi="Arial" w:cs="Arial"/>
          <w:color w:val="222222"/>
          <w:sz w:val="21"/>
          <w:szCs w:val="21"/>
          <w:highlight w:val="white"/>
        </w:rPr>
      </w:pPr>
      <w:r>
        <w:rPr>
          <w:rFonts w:ascii="Arial" w:eastAsia="Arial" w:hAnsi="Arial" w:cs="Arial"/>
          <w:b/>
          <w:color w:val="222222"/>
          <w:sz w:val="21"/>
          <w:szCs w:val="21"/>
          <w:highlight w:val="white"/>
        </w:rPr>
        <w:t xml:space="preserve">Fixation : </w:t>
      </w:r>
      <w:r>
        <w:rPr>
          <w:rFonts w:ascii="Arial" w:eastAsia="Arial" w:hAnsi="Arial" w:cs="Arial"/>
          <w:color w:val="222222"/>
          <w:sz w:val="21"/>
          <w:szCs w:val="21"/>
          <w:highlight w:val="white"/>
        </w:rPr>
        <w:t>Un anticorps de capture est fixé au fond du puits.</w:t>
      </w:r>
    </w:p>
    <w:p w:rsidR="00E3595E" w:rsidRDefault="00E3595E">
      <w:pPr>
        <w:jc w:val="both"/>
        <w:rPr>
          <w:rFonts w:ascii="Arial" w:eastAsia="Arial" w:hAnsi="Arial" w:cs="Arial"/>
          <w:b/>
          <w:color w:val="222222"/>
          <w:sz w:val="21"/>
          <w:szCs w:val="21"/>
          <w:highlight w:val="white"/>
        </w:rPr>
      </w:pPr>
    </w:p>
    <w:p w:rsidR="00DE4867" w:rsidRDefault="00E47BB1">
      <w:pPr>
        <w:jc w:val="both"/>
        <w:rPr>
          <w:rFonts w:ascii="Arial" w:eastAsia="Arial" w:hAnsi="Arial" w:cs="Arial"/>
          <w:color w:val="222222"/>
          <w:sz w:val="21"/>
          <w:szCs w:val="21"/>
          <w:highlight w:val="white"/>
        </w:rPr>
      </w:pPr>
      <w:r>
        <w:rPr>
          <w:rFonts w:ascii="Arial" w:eastAsia="Arial" w:hAnsi="Arial" w:cs="Arial"/>
          <w:b/>
          <w:color w:val="222222"/>
          <w:sz w:val="21"/>
          <w:szCs w:val="21"/>
          <w:highlight w:val="white"/>
        </w:rPr>
        <w:t xml:space="preserve">Ajout d’antigène : </w:t>
      </w:r>
      <w:r>
        <w:rPr>
          <w:rFonts w:ascii="Arial" w:eastAsia="Arial" w:hAnsi="Arial" w:cs="Arial"/>
          <w:color w:val="222222"/>
          <w:sz w:val="21"/>
          <w:szCs w:val="21"/>
          <w:highlight w:val="white"/>
        </w:rPr>
        <w:t>l’échantillon contenant les antigènes à analyser est incorporé à la solution d’anticorps.</w:t>
      </w:r>
    </w:p>
    <w:p w:rsidR="00DE4867" w:rsidRDefault="00E47BB1">
      <w:pPr>
        <w:jc w:val="both"/>
        <w:rPr>
          <w:rFonts w:ascii="Arial" w:eastAsia="Arial" w:hAnsi="Arial" w:cs="Arial"/>
          <w:color w:val="222222"/>
          <w:sz w:val="21"/>
          <w:szCs w:val="21"/>
          <w:highlight w:val="white"/>
        </w:rPr>
      </w:pPr>
      <w:r>
        <w:rPr>
          <w:rFonts w:ascii="Arial" w:eastAsia="Arial" w:hAnsi="Arial" w:cs="Arial"/>
          <w:b/>
          <w:color w:val="222222"/>
          <w:sz w:val="21"/>
          <w:szCs w:val="21"/>
          <w:highlight w:val="white"/>
        </w:rPr>
        <w:t xml:space="preserve">Ajout d’anticorps de détection : </w:t>
      </w:r>
      <w:r>
        <w:rPr>
          <w:rFonts w:ascii="Arial" w:eastAsia="Arial" w:hAnsi="Arial" w:cs="Arial"/>
          <w:color w:val="222222"/>
          <w:sz w:val="21"/>
          <w:szCs w:val="21"/>
          <w:highlight w:val="white"/>
        </w:rPr>
        <w:t>Des anticorps liés à une enzyme sont ajoutés à la solution, permettant la mesure quantitative des anticorps grâce au substrat ajouté (création d’une coloration bleue).</w:t>
      </w:r>
    </w:p>
    <w:p w:rsidR="00806117" w:rsidRDefault="00806117" w:rsidP="00806117">
      <w:pPr>
        <w:jc w:val="center"/>
        <w:rPr>
          <w:rFonts w:ascii="Arial" w:eastAsia="Arial" w:hAnsi="Arial" w:cs="Arial"/>
          <w:color w:val="222222"/>
          <w:sz w:val="21"/>
          <w:szCs w:val="21"/>
          <w:highlight w:val="white"/>
        </w:rPr>
      </w:pPr>
      <w:r>
        <w:rPr>
          <w:noProof/>
        </w:rPr>
        <w:lastRenderedPageBreak/>
        <w:drawing>
          <wp:inline distT="0" distB="0" distL="0" distR="0" wp14:anchorId="7617D3B7" wp14:editId="558D9DCE">
            <wp:extent cx="5760720" cy="205676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056765"/>
                    </a:xfrm>
                    <a:prstGeom prst="rect">
                      <a:avLst/>
                    </a:prstGeom>
                  </pic:spPr>
                </pic:pic>
              </a:graphicData>
            </a:graphic>
          </wp:inline>
        </w:drawing>
      </w:r>
    </w:p>
    <w:p w:rsidR="00DE4867" w:rsidRDefault="00DE4867">
      <w:pPr>
        <w:rPr>
          <w:rFonts w:ascii="Arial" w:eastAsia="Arial" w:hAnsi="Arial" w:cs="Arial"/>
          <w:color w:val="222222"/>
          <w:sz w:val="21"/>
          <w:szCs w:val="21"/>
          <w:highlight w:val="white"/>
        </w:rPr>
      </w:pPr>
    </w:p>
    <w:p w:rsidR="00DE4867" w:rsidRDefault="00E47BB1">
      <w:pPr>
        <w:numPr>
          <w:ilvl w:val="0"/>
          <w:numId w:val="4"/>
        </w:numPr>
        <w:pBdr>
          <w:top w:val="nil"/>
          <w:left w:val="nil"/>
          <w:bottom w:val="nil"/>
          <w:right w:val="nil"/>
          <w:between w:val="nil"/>
        </w:pBdr>
      </w:pPr>
      <w:r w:rsidRPr="00E3595E">
        <w:rPr>
          <w:color w:val="44546A" w:themeColor="text2"/>
          <w:sz w:val="32"/>
          <w:szCs w:val="32"/>
        </w:rPr>
        <w:t>Méthode de compétition :</w:t>
      </w:r>
      <w:r w:rsidRPr="00E3595E">
        <w:rPr>
          <w:rFonts w:ascii="Arial" w:eastAsia="Arial" w:hAnsi="Arial" w:cs="Arial"/>
          <w:color w:val="44546A" w:themeColor="text2"/>
          <w:sz w:val="21"/>
          <w:szCs w:val="21"/>
          <w:highlight w:val="white"/>
        </w:rPr>
        <w:t xml:space="preserve"> </w:t>
      </w:r>
      <w:r>
        <w:rPr>
          <w:rFonts w:ascii="Arial" w:eastAsia="Arial" w:hAnsi="Arial" w:cs="Arial"/>
          <w:i/>
          <w:color w:val="222222"/>
          <w:sz w:val="21"/>
          <w:szCs w:val="21"/>
          <w:highlight w:val="white"/>
        </w:rPr>
        <w:t>Permet le dosage d’antigène.</w:t>
      </w:r>
    </w:p>
    <w:p w:rsidR="00DE4867" w:rsidRDefault="00E47BB1">
      <w:pPr>
        <w:rPr>
          <w:rFonts w:ascii="Arial" w:eastAsia="Arial" w:hAnsi="Arial" w:cs="Arial"/>
          <w:color w:val="222222"/>
          <w:sz w:val="21"/>
          <w:szCs w:val="21"/>
          <w:highlight w:val="white"/>
        </w:rPr>
      </w:pPr>
      <w:r>
        <w:rPr>
          <w:rFonts w:ascii="Arial" w:eastAsia="Arial" w:hAnsi="Arial" w:cs="Arial"/>
          <w:color w:val="222222"/>
          <w:sz w:val="21"/>
          <w:szCs w:val="21"/>
          <w:highlight w:val="white"/>
        </w:rPr>
        <w:t>Cette technique se base sur l’utilisation de deux solutions d’antigènes différents : l’une avec une concentration connue (qui sont marqués) et l’autre à déterminer.</w:t>
      </w:r>
    </w:p>
    <w:p w:rsidR="00DE4867" w:rsidRDefault="00E47BB1">
      <w:pPr>
        <w:rPr>
          <w:rFonts w:ascii="Arial" w:eastAsia="Arial" w:hAnsi="Arial" w:cs="Arial"/>
          <w:color w:val="222222"/>
          <w:sz w:val="21"/>
          <w:szCs w:val="21"/>
          <w:highlight w:val="white"/>
        </w:rPr>
      </w:pPr>
      <w:r>
        <w:rPr>
          <w:rFonts w:ascii="Arial" w:eastAsia="Arial" w:hAnsi="Arial" w:cs="Arial"/>
          <w:color w:val="222222"/>
          <w:sz w:val="21"/>
          <w:szCs w:val="21"/>
          <w:highlight w:val="white"/>
        </w:rPr>
        <w:t>Si le signal coloré est fort, cela sous-entend que l’antigène inconnu est en faible concentration.</w:t>
      </w:r>
    </w:p>
    <w:p w:rsidR="00806117" w:rsidRDefault="00806117" w:rsidP="00806117">
      <w:pPr>
        <w:jc w:val="center"/>
        <w:rPr>
          <w:rFonts w:ascii="Arial" w:eastAsia="Arial" w:hAnsi="Arial" w:cs="Arial"/>
          <w:color w:val="222222"/>
          <w:sz w:val="21"/>
          <w:szCs w:val="21"/>
          <w:highlight w:val="white"/>
        </w:rPr>
      </w:pPr>
      <w:r>
        <w:rPr>
          <w:noProof/>
        </w:rPr>
        <w:drawing>
          <wp:inline distT="0" distB="0" distL="0" distR="0" wp14:anchorId="0B6D56FD" wp14:editId="505FE417">
            <wp:extent cx="5760720" cy="22193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219325"/>
                    </a:xfrm>
                    <a:prstGeom prst="rect">
                      <a:avLst/>
                    </a:prstGeom>
                  </pic:spPr>
                </pic:pic>
              </a:graphicData>
            </a:graphic>
          </wp:inline>
        </w:drawing>
      </w:r>
    </w:p>
    <w:p w:rsidR="00DE4867" w:rsidRDefault="00DE4867">
      <w:pPr>
        <w:rPr>
          <w:rFonts w:ascii="Arial" w:eastAsia="Arial" w:hAnsi="Arial" w:cs="Arial"/>
          <w:color w:val="222222"/>
          <w:sz w:val="21"/>
          <w:szCs w:val="21"/>
          <w:highlight w:val="white"/>
        </w:rPr>
      </w:pPr>
      <w:bookmarkStart w:id="0" w:name="_GoBack"/>
      <w:bookmarkEnd w:id="0"/>
    </w:p>
    <w:p w:rsidR="00E3595E" w:rsidRDefault="00E3595E" w:rsidP="00E3595E">
      <w:pPr>
        <w:rPr>
          <w:rFonts w:asciiTheme="minorHAnsi" w:hAnsiTheme="minorHAnsi" w:cstheme="minorHAnsi"/>
          <w:color w:val="44546A" w:themeColor="text2"/>
          <w:sz w:val="32"/>
          <w:szCs w:val="32"/>
          <w:u w:val="single"/>
        </w:rPr>
      </w:pPr>
      <w:r w:rsidRPr="00E3595E">
        <w:rPr>
          <w:rFonts w:asciiTheme="minorHAnsi" w:hAnsiTheme="minorHAnsi" w:cstheme="minorHAnsi"/>
          <w:color w:val="44546A" w:themeColor="text2"/>
          <w:sz w:val="32"/>
          <w:szCs w:val="32"/>
          <w:u w:val="single"/>
        </w:rPr>
        <w:t>Quel peuvent être les avantages et inconvénients d’un test ELISA ?</w:t>
      </w:r>
    </w:p>
    <w:p w:rsidR="00DE4867" w:rsidRDefault="00DE4867"/>
    <w:tbl>
      <w:tblPr>
        <w:tblStyle w:val="a"/>
        <w:tblW w:w="906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31"/>
        <w:gridCol w:w="4531"/>
      </w:tblGrid>
      <w:tr w:rsidR="00DE4867">
        <w:tc>
          <w:tcPr>
            <w:tcW w:w="4531" w:type="dxa"/>
          </w:tcPr>
          <w:p w:rsidR="00DE4867" w:rsidRDefault="00E47BB1">
            <w:pPr>
              <w:rPr>
                <w:rFonts w:ascii="Arial" w:eastAsia="Arial" w:hAnsi="Arial" w:cs="Arial"/>
                <w:b/>
                <w:color w:val="222222"/>
                <w:sz w:val="21"/>
                <w:szCs w:val="21"/>
                <w:highlight w:val="white"/>
              </w:rPr>
            </w:pPr>
            <w:r>
              <w:rPr>
                <w:rFonts w:ascii="Arial" w:eastAsia="Arial" w:hAnsi="Arial" w:cs="Arial"/>
                <w:b/>
                <w:color w:val="222222"/>
                <w:sz w:val="21"/>
                <w:szCs w:val="21"/>
                <w:highlight w:val="white"/>
              </w:rPr>
              <w:t>Avantages</w:t>
            </w:r>
          </w:p>
        </w:tc>
        <w:tc>
          <w:tcPr>
            <w:tcW w:w="4531" w:type="dxa"/>
          </w:tcPr>
          <w:p w:rsidR="00DE4867" w:rsidRDefault="00E47BB1">
            <w:pPr>
              <w:rPr>
                <w:rFonts w:ascii="Arial" w:eastAsia="Arial" w:hAnsi="Arial" w:cs="Arial"/>
                <w:b/>
                <w:color w:val="222222"/>
                <w:sz w:val="21"/>
                <w:szCs w:val="21"/>
                <w:highlight w:val="white"/>
              </w:rPr>
            </w:pPr>
            <w:r>
              <w:rPr>
                <w:rFonts w:ascii="Arial" w:eastAsia="Arial" w:hAnsi="Arial" w:cs="Arial"/>
                <w:b/>
                <w:color w:val="222222"/>
                <w:sz w:val="21"/>
                <w:szCs w:val="21"/>
                <w:highlight w:val="white"/>
              </w:rPr>
              <w:t>Inconvénients</w:t>
            </w:r>
          </w:p>
        </w:tc>
      </w:tr>
      <w:tr w:rsidR="00DE4867">
        <w:tc>
          <w:tcPr>
            <w:tcW w:w="4531" w:type="dxa"/>
          </w:tcPr>
          <w:p w:rsidR="00DE4867" w:rsidRDefault="00E47BB1">
            <w:pPr>
              <w:rPr>
                <w:rFonts w:ascii="Arial" w:eastAsia="Arial" w:hAnsi="Arial" w:cs="Arial"/>
                <w:b/>
                <w:color w:val="000000"/>
                <w:sz w:val="21"/>
                <w:szCs w:val="21"/>
                <w:highlight w:val="white"/>
              </w:rPr>
            </w:pPr>
            <w:r>
              <w:rPr>
                <w:rFonts w:ascii="Arial" w:eastAsia="Arial" w:hAnsi="Arial" w:cs="Arial"/>
                <w:color w:val="000000"/>
                <w:sz w:val="21"/>
                <w:szCs w:val="21"/>
                <w:highlight w:val="white"/>
              </w:rPr>
              <w:t>Accessible à tous les biologiste, simple</w:t>
            </w:r>
          </w:p>
        </w:tc>
        <w:tc>
          <w:tcPr>
            <w:tcW w:w="4531" w:type="dxa"/>
          </w:tcPr>
          <w:p w:rsidR="00DE4867" w:rsidRDefault="00E47BB1">
            <w:pPr>
              <w:rPr>
                <w:rFonts w:ascii="Arial" w:eastAsia="Arial" w:hAnsi="Arial" w:cs="Arial"/>
                <w:color w:val="222222"/>
                <w:sz w:val="21"/>
                <w:szCs w:val="21"/>
                <w:highlight w:val="white"/>
              </w:rPr>
            </w:pPr>
            <w:r>
              <w:rPr>
                <w:rFonts w:ascii="Arial" w:eastAsia="Arial" w:hAnsi="Arial" w:cs="Arial"/>
                <w:color w:val="222222"/>
                <w:sz w:val="21"/>
                <w:szCs w:val="21"/>
                <w:highlight w:val="white"/>
              </w:rPr>
              <w:t>Limité par la disponibilité des anticorps spécifiques</w:t>
            </w:r>
          </w:p>
        </w:tc>
      </w:tr>
      <w:tr w:rsidR="00DE4867">
        <w:tc>
          <w:tcPr>
            <w:tcW w:w="4531" w:type="dxa"/>
          </w:tcPr>
          <w:p w:rsidR="00DE4867" w:rsidRDefault="00E47BB1">
            <w:pPr>
              <w:rPr>
                <w:rFonts w:ascii="Arial" w:eastAsia="Arial" w:hAnsi="Arial" w:cs="Arial"/>
                <w:b/>
                <w:color w:val="222222"/>
                <w:sz w:val="21"/>
                <w:szCs w:val="21"/>
                <w:highlight w:val="white"/>
              </w:rPr>
            </w:pPr>
            <w:r>
              <w:rPr>
                <w:rFonts w:ascii="Arial" w:eastAsia="Arial" w:hAnsi="Arial" w:cs="Arial"/>
                <w:color w:val="222222"/>
                <w:sz w:val="21"/>
                <w:szCs w:val="21"/>
                <w:highlight w:val="white"/>
              </w:rPr>
              <w:t>Plus de précision avec les anticorps secondaires</w:t>
            </w:r>
          </w:p>
        </w:tc>
        <w:tc>
          <w:tcPr>
            <w:tcW w:w="4531" w:type="dxa"/>
          </w:tcPr>
          <w:p w:rsidR="00DE4867" w:rsidRDefault="00E47BB1">
            <w:pPr>
              <w:rPr>
                <w:rFonts w:ascii="Arial" w:eastAsia="Arial" w:hAnsi="Arial" w:cs="Arial"/>
                <w:color w:val="222222"/>
                <w:sz w:val="21"/>
                <w:szCs w:val="21"/>
                <w:highlight w:val="white"/>
              </w:rPr>
            </w:pPr>
            <w:r>
              <w:rPr>
                <w:rFonts w:ascii="Arial" w:eastAsia="Arial" w:hAnsi="Arial" w:cs="Arial"/>
                <w:color w:val="222222"/>
                <w:sz w:val="21"/>
                <w:szCs w:val="21"/>
                <w:highlight w:val="white"/>
              </w:rPr>
              <w:t>Réaction dépendante au milieu (température, Ph…)</w:t>
            </w:r>
          </w:p>
        </w:tc>
      </w:tr>
      <w:tr w:rsidR="00DE4867">
        <w:trPr>
          <w:trHeight w:val="200"/>
        </w:trPr>
        <w:tc>
          <w:tcPr>
            <w:tcW w:w="4531" w:type="dxa"/>
          </w:tcPr>
          <w:p w:rsidR="00DE4867" w:rsidRDefault="00E47BB1">
            <w:pPr>
              <w:rPr>
                <w:rFonts w:ascii="Arial" w:eastAsia="Arial" w:hAnsi="Arial" w:cs="Arial"/>
                <w:b/>
                <w:color w:val="000000"/>
                <w:sz w:val="21"/>
                <w:szCs w:val="21"/>
                <w:highlight w:val="white"/>
              </w:rPr>
            </w:pPr>
            <w:r>
              <w:rPr>
                <w:rFonts w:ascii="Arial" w:eastAsia="Arial" w:hAnsi="Arial" w:cs="Arial"/>
                <w:color w:val="000000"/>
                <w:sz w:val="21"/>
                <w:szCs w:val="21"/>
                <w:highlight w:val="white"/>
              </w:rPr>
              <w:t>Quantitatif</w:t>
            </w:r>
          </w:p>
        </w:tc>
        <w:tc>
          <w:tcPr>
            <w:tcW w:w="4531" w:type="dxa"/>
            <w:vMerge w:val="restart"/>
            <w:tcBorders>
              <w:right w:val="nil"/>
            </w:tcBorders>
          </w:tcPr>
          <w:p w:rsidR="00DE4867" w:rsidRDefault="00DE4867">
            <w:pPr>
              <w:rPr>
                <w:rFonts w:ascii="Arial" w:eastAsia="Arial" w:hAnsi="Arial" w:cs="Arial"/>
                <w:color w:val="222222"/>
                <w:sz w:val="21"/>
                <w:szCs w:val="21"/>
                <w:highlight w:val="white"/>
              </w:rPr>
            </w:pPr>
          </w:p>
        </w:tc>
      </w:tr>
      <w:tr w:rsidR="00DE4867">
        <w:trPr>
          <w:trHeight w:val="200"/>
        </w:trPr>
        <w:tc>
          <w:tcPr>
            <w:tcW w:w="4531" w:type="dxa"/>
          </w:tcPr>
          <w:p w:rsidR="00DE4867" w:rsidRDefault="00E47BB1">
            <w:pPr>
              <w:rPr>
                <w:rFonts w:ascii="Arial" w:eastAsia="Arial" w:hAnsi="Arial" w:cs="Arial"/>
                <w:b/>
                <w:color w:val="222222"/>
                <w:sz w:val="21"/>
                <w:szCs w:val="21"/>
                <w:highlight w:val="white"/>
              </w:rPr>
            </w:pPr>
            <w:r>
              <w:rPr>
                <w:rFonts w:ascii="Arial" w:eastAsia="Arial" w:hAnsi="Arial" w:cs="Arial"/>
                <w:color w:val="222222"/>
                <w:sz w:val="21"/>
                <w:szCs w:val="21"/>
                <w:highlight w:val="white"/>
              </w:rPr>
              <w:t xml:space="preserve">La détection nécessite peu d’appareil spécialisé (lecteur de plaques de </w:t>
            </w:r>
            <w:proofErr w:type="spellStart"/>
            <w:r>
              <w:rPr>
                <w:rFonts w:ascii="Arial" w:eastAsia="Arial" w:hAnsi="Arial" w:cs="Arial"/>
                <w:color w:val="222222"/>
                <w:sz w:val="21"/>
                <w:szCs w:val="21"/>
                <w:highlight w:val="white"/>
              </w:rPr>
              <w:t>microtitration</w:t>
            </w:r>
            <w:proofErr w:type="spellEnd"/>
            <w:r>
              <w:rPr>
                <w:rFonts w:ascii="Arial" w:eastAsia="Arial" w:hAnsi="Arial" w:cs="Arial"/>
                <w:color w:val="222222"/>
                <w:sz w:val="21"/>
                <w:szCs w:val="21"/>
                <w:highlight w:val="white"/>
              </w:rPr>
              <w:t>)</w:t>
            </w:r>
          </w:p>
        </w:tc>
        <w:tc>
          <w:tcPr>
            <w:tcW w:w="4531" w:type="dxa"/>
            <w:vMerge/>
            <w:tcBorders>
              <w:right w:val="nil"/>
            </w:tcBorders>
          </w:tcPr>
          <w:p w:rsidR="00DE4867" w:rsidRDefault="00DE4867">
            <w:pPr>
              <w:rPr>
                <w:rFonts w:ascii="Arial" w:eastAsia="Arial" w:hAnsi="Arial" w:cs="Arial"/>
                <w:color w:val="222222"/>
                <w:sz w:val="21"/>
                <w:szCs w:val="21"/>
                <w:highlight w:val="white"/>
              </w:rPr>
            </w:pPr>
          </w:p>
        </w:tc>
      </w:tr>
      <w:tr w:rsidR="00DE4867">
        <w:trPr>
          <w:trHeight w:val="200"/>
        </w:trPr>
        <w:tc>
          <w:tcPr>
            <w:tcW w:w="4531" w:type="dxa"/>
          </w:tcPr>
          <w:p w:rsidR="00DE4867" w:rsidRDefault="00E47BB1">
            <w:pPr>
              <w:rPr>
                <w:rFonts w:ascii="Arial" w:eastAsia="Arial" w:hAnsi="Arial" w:cs="Arial"/>
                <w:b/>
                <w:color w:val="222222"/>
                <w:sz w:val="21"/>
                <w:szCs w:val="21"/>
                <w:highlight w:val="yellow"/>
              </w:rPr>
            </w:pPr>
            <w:r>
              <w:rPr>
                <w:rFonts w:ascii="Arial" w:eastAsia="Arial" w:hAnsi="Arial" w:cs="Arial"/>
                <w:color w:val="222222"/>
                <w:sz w:val="21"/>
                <w:szCs w:val="21"/>
                <w:highlight w:val="white"/>
              </w:rPr>
              <w:t>Peu coûteux</w:t>
            </w:r>
          </w:p>
        </w:tc>
        <w:tc>
          <w:tcPr>
            <w:tcW w:w="4531" w:type="dxa"/>
            <w:vMerge/>
            <w:tcBorders>
              <w:bottom w:val="nil"/>
            </w:tcBorders>
          </w:tcPr>
          <w:p w:rsidR="00DE4867" w:rsidRDefault="00DE4867">
            <w:pPr>
              <w:widowControl w:val="0"/>
              <w:pBdr>
                <w:top w:val="nil"/>
                <w:left w:val="nil"/>
                <w:bottom w:val="nil"/>
                <w:right w:val="nil"/>
                <w:between w:val="nil"/>
              </w:pBdr>
              <w:rPr>
                <w:rFonts w:ascii="Arial" w:eastAsia="Arial" w:hAnsi="Arial" w:cs="Arial"/>
                <w:b/>
                <w:color w:val="222222"/>
                <w:sz w:val="21"/>
                <w:szCs w:val="21"/>
                <w:highlight w:val="yellow"/>
              </w:rPr>
            </w:pPr>
          </w:p>
        </w:tc>
      </w:tr>
    </w:tbl>
    <w:p w:rsidR="00E3595E" w:rsidRDefault="00E3595E" w:rsidP="00E3595E">
      <w:pPr>
        <w:pStyle w:val="Titre1"/>
        <w:jc w:val="both"/>
        <w:rPr>
          <w:rFonts w:asciiTheme="minorHAnsi" w:hAnsiTheme="minorHAnsi" w:cstheme="minorHAnsi"/>
          <w:color w:val="44546A" w:themeColor="text2"/>
          <w:u w:val="single"/>
        </w:rPr>
      </w:pPr>
    </w:p>
    <w:p w:rsidR="00E3595E" w:rsidRDefault="00E3595E" w:rsidP="00E3595E">
      <w:pPr>
        <w:pStyle w:val="Titre1"/>
        <w:jc w:val="both"/>
        <w:rPr>
          <w:rFonts w:asciiTheme="minorHAnsi" w:hAnsiTheme="minorHAnsi" w:cstheme="minorHAnsi"/>
          <w:color w:val="44546A" w:themeColor="text2"/>
          <w:u w:val="single"/>
        </w:rPr>
      </w:pPr>
      <w:r w:rsidRPr="001F0414">
        <w:rPr>
          <w:rFonts w:asciiTheme="minorHAnsi" w:hAnsiTheme="minorHAnsi" w:cstheme="minorHAnsi"/>
          <w:color w:val="44546A" w:themeColor="text2"/>
          <w:u w:val="single"/>
        </w:rPr>
        <w:t>Quelques utilisations ?</w:t>
      </w:r>
    </w:p>
    <w:p w:rsidR="00E3595E" w:rsidRPr="00E3595E" w:rsidRDefault="00E3595E" w:rsidP="00E3595E"/>
    <w:p w:rsidR="00DE4867" w:rsidRDefault="00E47BB1">
      <w:pPr>
        <w:numPr>
          <w:ilvl w:val="0"/>
          <w:numId w:val="1"/>
        </w:numPr>
        <w:pBdr>
          <w:top w:val="nil"/>
          <w:left w:val="nil"/>
          <w:bottom w:val="nil"/>
          <w:right w:val="nil"/>
          <w:between w:val="nil"/>
        </w:pBdr>
        <w:spacing w:after="0"/>
        <w:rPr>
          <w:rFonts w:ascii="Arial" w:eastAsia="Arial" w:hAnsi="Arial" w:cs="Arial"/>
          <w:color w:val="222222"/>
          <w:sz w:val="21"/>
          <w:szCs w:val="21"/>
          <w:highlight w:val="white"/>
        </w:rPr>
      </w:pPr>
      <w:r>
        <w:rPr>
          <w:rFonts w:ascii="Arial" w:eastAsia="Arial" w:hAnsi="Arial" w:cs="Arial"/>
          <w:color w:val="222222"/>
          <w:sz w:val="21"/>
          <w:szCs w:val="21"/>
          <w:highlight w:val="white"/>
        </w:rPr>
        <w:t>Utilisée pour dépister le HIV ou le virus du Nil.</w:t>
      </w:r>
    </w:p>
    <w:p w:rsidR="00DE4867" w:rsidRDefault="00E47BB1">
      <w:pPr>
        <w:numPr>
          <w:ilvl w:val="0"/>
          <w:numId w:val="1"/>
        </w:numPr>
        <w:pBdr>
          <w:top w:val="nil"/>
          <w:left w:val="nil"/>
          <w:bottom w:val="nil"/>
          <w:right w:val="nil"/>
          <w:between w:val="nil"/>
        </w:pBdr>
        <w:rPr>
          <w:rFonts w:ascii="Arial" w:eastAsia="Arial" w:hAnsi="Arial" w:cs="Arial"/>
          <w:color w:val="222222"/>
          <w:sz w:val="21"/>
          <w:szCs w:val="21"/>
          <w:highlight w:val="white"/>
        </w:rPr>
      </w:pPr>
      <w:r>
        <w:rPr>
          <w:rFonts w:ascii="Arial" w:eastAsia="Arial" w:hAnsi="Arial" w:cs="Arial"/>
          <w:color w:val="222222"/>
          <w:sz w:val="21"/>
          <w:szCs w:val="21"/>
          <w:highlight w:val="white"/>
        </w:rPr>
        <w:t>Industrie alimentaire : allergènes (lait, noix…)</w:t>
      </w:r>
    </w:p>
    <w:p w:rsidR="00DE4867" w:rsidRDefault="00DE4867">
      <w:pPr>
        <w:rPr>
          <w:rFonts w:ascii="Arial" w:eastAsia="Arial" w:hAnsi="Arial" w:cs="Arial"/>
          <w:color w:val="222222"/>
          <w:sz w:val="21"/>
          <w:szCs w:val="21"/>
          <w:highlight w:val="white"/>
        </w:rPr>
      </w:pPr>
      <w:bookmarkStart w:id="1" w:name="_heading=h.gjdgxs" w:colFirst="0" w:colLast="0"/>
      <w:bookmarkEnd w:id="1"/>
    </w:p>
    <w:p w:rsidR="00DE4867" w:rsidRDefault="00E47BB1">
      <w:pPr>
        <w:pStyle w:val="Titre3"/>
        <w:rPr>
          <w:highlight w:val="white"/>
        </w:rPr>
      </w:pPr>
      <w:r>
        <w:rPr>
          <w:highlight w:val="white"/>
        </w:rPr>
        <w:t>Sources :</w:t>
      </w:r>
    </w:p>
    <w:p w:rsidR="00DE4867" w:rsidRDefault="00E47BB1">
      <w:pPr>
        <w:rPr>
          <w:rFonts w:ascii="Arial" w:eastAsia="Arial" w:hAnsi="Arial" w:cs="Arial"/>
          <w:color w:val="232323"/>
          <w:sz w:val="20"/>
          <w:szCs w:val="20"/>
        </w:rPr>
      </w:pPr>
      <w:r>
        <w:rPr>
          <w:rFonts w:ascii="Arial" w:eastAsia="Arial" w:hAnsi="Arial" w:cs="Arial"/>
          <w:color w:val="232323"/>
          <w:sz w:val="20"/>
          <w:szCs w:val="20"/>
        </w:rPr>
        <w:t xml:space="preserve">INRP, </w:t>
      </w:r>
      <w:proofErr w:type="spellStart"/>
      <w:r>
        <w:rPr>
          <w:rFonts w:ascii="Arial" w:eastAsia="Arial" w:hAnsi="Arial" w:cs="Arial"/>
          <w:color w:val="232323"/>
          <w:sz w:val="20"/>
          <w:szCs w:val="20"/>
        </w:rPr>
        <w:t>Biogeo</w:t>
      </w:r>
      <w:proofErr w:type="spellEnd"/>
      <w:r>
        <w:rPr>
          <w:rFonts w:ascii="Arial" w:eastAsia="Arial" w:hAnsi="Arial" w:cs="Arial"/>
          <w:color w:val="232323"/>
          <w:sz w:val="20"/>
          <w:szCs w:val="20"/>
        </w:rPr>
        <w:t xml:space="preserve">, </w:t>
      </w:r>
      <w:r>
        <w:rPr>
          <w:rFonts w:ascii="Arial" w:eastAsia="Arial" w:hAnsi="Arial" w:cs="Arial"/>
          <w:i/>
          <w:color w:val="232323"/>
          <w:sz w:val="20"/>
          <w:szCs w:val="20"/>
        </w:rPr>
        <w:t>Immunologie Sida</w:t>
      </w:r>
      <w:r>
        <w:rPr>
          <w:rFonts w:ascii="Arial" w:eastAsia="Arial" w:hAnsi="Arial" w:cs="Arial"/>
          <w:color w:val="232323"/>
          <w:sz w:val="20"/>
          <w:szCs w:val="20"/>
        </w:rPr>
        <w:t xml:space="preserve"> (</w:t>
      </w:r>
      <w:hyperlink r:id="rId13">
        <w:r>
          <w:rPr>
            <w:rFonts w:ascii="Arial" w:eastAsia="Arial" w:hAnsi="Arial" w:cs="Arial"/>
            <w:color w:val="0000FF"/>
            <w:sz w:val="20"/>
            <w:szCs w:val="20"/>
            <w:u w:val="single"/>
          </w:rPr>
          <w:t>http://acces.ens-lyon.fr/biotic/immuno/html/elisavar.htm</w:t>
        </w:r>
      </w:hyperlink>
      <w:r>
        <w:rPr>
          <w:rFonts w:ascii="Arial" w:eastAsia="Arial" w:hAnsi="Arial" w:cs="Arial"/>
          <w:color w:val="232323"/>
          <w:sz w:val="20"/>
          <w:szCs w:val="20"/>
        </w:rPr>
        <w:t>)</w:t>
      </w:r>
    </w:p>
    <w:p w:rsidR="00DE4867" w:rsidRDefault="00E47BB1">
      <w:pPr>
        <w:rPr>
          <w:rFonts w:ascii="Arial" w:eastAsia="Arial" w:hAnsi="Arial" w:cs="Arial"/>
          <w:color w:val="232323"/>
          <w:sz w:val="20"/>
          <w:szCs w:val="20"/>
        </w:rPr>
      </w:pPr>
      <w:proofErr w:type="spellStart"/>
      <w:r>
        <w:rPr>
          <w:rFonts w:ascii="Arial" w:eastAsia="Arial" w:hAnsi="Arial" w:cs="Arial"/>
          <w:color w:val="232323"/>
          <w:sz w:val="20"/>
          <w:szCs w:val="20"/>
        </w:rPr>
        <w:t>Medecine</w:t>
      </w:r>
      <w:proofErr w:type="spellEnd"/>
      <w:r>
        <w:rPr>
          <w:rFonts w:ascii="Arial" w:eastAsia="Arial" w:hAnsi="Arial" w:cs="Arial"/>
          <w:color w:val="232323"/>
          <w:sz w:val="20"/>
          <w:szCs w:val="20"/>
        </w:rPr>
        <w:t xml:space="preserve"> et Maladie : </w:t>
      </w:r>
      <w:hyperlink r:id="rId14">
        <w:r>
          <w:rPr>
            <w:rFonts w:ascii="Arial" w:eastAsia="Arial" w:hAnsi="Arial" w:cs="Arial"/>
            <w:color w:val="0000FF"/>
            <w:sz w:val="20"/>
            <w:szCs w:val="20"/>
            <w:u w:val="single"/>
          </w:rPr>
          <w:t>http://futuremedecin.blogspot.com</w:t>
        </w:r>
      </w:hyperlink>
    </w:p>
    <w:p w:rsidR="00DE4867" w:rsidRDefault="00E47BB1">
      <w:pPr>
        <w:rPr>
          <w:rFonts w:ascii="Arial" w:eastAsia="Arial" w:hAnsi="Arial" w:cs="Arial"/>
          <w:color w:val="232323"/>
          <w:sz w:val="20"/>
          <w:szCs w:val="20"/>
        </w:rPr>
      </w:pPr>
      <w:r>
        <w:rPr>
          <w:rFonts w:ascii="Arial" w:eastAsia="Arial" w:hAnsi="Arial" w:cs="Arial"/>
          <w:color w:val="232323"/>
          <w:sz w:val="20"/>
          <w:szCs w:val="20"/>
        </w:rPr>
        <w:t xml:space="preserve">Magniez </w:t>
      </w:r>
      <w:proofErr w:type="spellStart"/>
      <w:r>
        <w:rPr>
          <w:rFonts w:ascii="Arial" w:eastAsia="Arial" w:hAnsi="Arial" w:cs="Arial"/>
          <w:color w:val="232323"/>
          <w:sz w:val="20"/>
          <w:szCs w:val="20"/>
        </w:rPr>
        <w:t>Frédérick</w:t>
      </w:r>
      <w:proofErr w:type="spellEnd"/>
      <w:r>
        <w:rPr>
          <w:rFonts w:ascii="Arial" w:eastAsia="Arial" w:hAnsi="Arial" w:cs="Arial"/>
          <w:color w:val="232323"/>
          <w:sz w:val="20"/>
          <w:szCs w:val="20"/>
        </w:rPr>
        <w:t xml:space="preserve">, </w:t>
      </w:r>
      <w:proofErr w:type="spellStart"/>
      <w:r>
        <w:rPr>
          <w:rFonts w:ascii="Arial" w:eastAsia="Arial" w:hAnsi="Arial" w:cs="Arial"/>
          <w:color w:val="232323"/>
          <w:sz w:val="20"/>
          <w:szCs w:val="20"/>
        </w:rPr>
        <w:t>Technobio</w:t>
      </w:r>
      <w:proofErr w:type="spellEnd"/>
      <w:r>
        <w:rPr>
          <w:rFonts w:ascii="Arial" w:eastAsia="Arial" w:hAnsi="Arial" w:cs="Arial"/>
          <w:color w:val="232323"/>
          <w:sz w:val="20"/>
          <w:szCs w:val="20"/>
        </w:rPr>
        <w:t xml:space="preserve"> (2008) (http://www.technobio.fr/article-18589062.html)</w:t>
      </w:r>
    </w:p>
    <w:p w:rsidR="00DE4867" w:rsidRDefault="00DE4867">
      <w:pPr>
        <w:rPr>
          <w:rFonts w:ascii="Arial" w:eastAsia="Arial" w:hAnsi="Arial" w:cs="Arial"/>
          <w:color w:val="232323"/>
          <w:sz w:val="20"/>
          <w:szCs w:val="20"/>
        </w:rPr>
      </w:pPr>
    </w:p>
    <w:p w:rsidR="00DE4867" w:rsidRDefault="00E47BB1">
      <w:pPr>
        <w:pStyle w:val="Titre3"/>
        <w:rPr>
          <w:highlight w:val="white"/>
        </w:rPr>
      </w:pPr>
      <w:r>
        <w:rPr>
          <w:highlight w:val="white"/>
        </w:rPr>
        <w:t xml:space="preserve">Pour aller plus loin : </w:t>
      </w:r>
    </w:p>
    <w:p w:rsidR="00DE4867" w:rsidRDefault="00E47BB1">
      <w:pPr>
        <w:rPr>
          <w:rFonts w:ascii="Arial" w:eastAsia="Arial" w:hAnsi="Arial" w:cs="Arial"/>
          <w:color w:val="0000FF"/>
          <w:sz w:val="21"/>
          <w:szCs w:val="21"/>
          <w:highlight w:val="white"/>
          <w:u w:val="single"/>
        </w:rPr>
      </w:pPr>
      <w:proofErr w:type="spellStart"/>
      <w:r>
        <w:rPr>
          <w:rFonts w:ascii="Arial" w:eastAsia="Arial" w:hAnsi="Arial" w:cs="Arial"/>
          <w:color w:val="222222"/>
          <w:sz w:val="21"/>
          <w:szCs w:val="21"/>
          <w:highlight w:val="white"/>
        </w:rPr>
        <w:t>Ozyme</w:t>
      </w:r>
      <w:proofErr w:type="spellEnd"/>
      <w:r>
        <w:rPr>
          <w:rFonts w:ascii="Arial" w:eastAsia="Arial" w:hAnsi="Arial" w:cs="Arial"/>
          <w:color w:val="222222"/>
          <w:sz w:val="21"/>
          <w:szCs w:val="21"/>
          <w:highlight w:val="white"/>
        </w:rPr>
        <w:t xml:space="preserve"> : </w:t>
      </w:r>
      <w:hyperlink r:id="rId15" w:anchor="item-3">
        <w:r>
          <w:rPr>
            <w:rFonts w:ascii="Arial" w:eastAsia="Arial" w:hAnsi="Arial" w:cs="Arial"/>
            <w:color w:val="0000FF"/>
            <w:sz w:val="21"/>
            <w:szCs w:val="21"/>
            <w:highlight w:val="white"/>
            <w:u w:val="single"/>
          </w:rPr>
          <w:t>https://www.ozyme.fr/#item-3</w:t>
        </w:r>
      </w:hyperlink>
      <w:r>
        <w:rPr>
          <w:rFonts w:ascii="Arial" w:eastAsia="Arial" w:hAnsi="Arial" w:cs="Arial"/>
          <w:color w:val="222222"/>
          <w:sz w:val="21"/>
          <w:szCs w:val="21"/>
          <w:highlight w:val="white"/>
        </w:rPr>
        <w:t xml:space="preserve"> (</w:t>
      </w:r>
      <w:hyperlink r:id="rId16">
        <w:r>
          <w:rPr>
            <w:rFonts w:ascii="Arial" w:eastAsia="Arial" w:hAnsi="Arial" w:cs="Arial"/>
            <w:color w:val="0000FF"/>
            <w:sz w:val="21"/>
            <w:szCs w:val="21"/>
            <w:highlight w:val="white"/>
            <w:u w:val="single"/>
          </w:rPr>
          <w:t>https://www.ozyme.fr/ressources/cyberlettres/techozyme/techozyme42-dosage-analyte-elisa.asp</w:t>
        </w:r>
      </w:hyperlink>
      <w:r>
        <w:rPr>
          <w:rFonts w:ascii="Arial" w:eastAsia="Arial" w:hAnsi="Arial" w:cs="Arial"/>
          <w:color w:val="0000FF"/>
          <w:sz w:val="21"/>
          <w:szCs w:val="21"/>
          <w:highlight w:val="white"/>
          <w:u w:val="single"/>
        </w:rPr>
        <w:t>)</w:t>
      </w:r>
    </w:p>
    <w:p w:rsidR="00DE4867" w:rsidRDefault="00E47BB1">
      <w:pPr>
        <w:rPr>
          <w:rFonts w:ascii="Arial" w:eastAsia="Arial" w:hAnsi="Arial" w:cs="Arial"/>
          <w:color w:val="0000FF"/>
          <w:sz w:val="21"/>
          <w:szCs w:val="21"/>
          <w:highlight w:val="white"/>
          <w:u w:val="single"/>
        </w:rPr>
      </w:pPr>
      <w:proofErr w:type="spellStart"/>
      <w:r>
        <w:rPr>
          <w:rFonts w:ascii="Arial" w:eastAsia="Arial" w:hAnsi="Arial" w:cs="Arial"/>
          <w:color w:val="000000"/>
          <w:sz w:val="21"/>
          <w:szCs w:val="21"/>
          <w:highlight w:val="white"/>
        </w:rPr>
        <w:t>Bioutils</w:t>
      </w:r>
      <w:proofErr w:type="spellEnd"/>
      <w:r>
        <w:rPr>
          <w:rFonts w:ascii="Arial" w:eastAsia="Arial" w:hAnsi="Arial" w:cs="Arial"/>
          <w:color w:val="000000"/>
          <w:sz w:val="21"/>
          <w:szCs w:val="21"/>
          <w:highlight w:val="white"/>
        </w:rPr>
        <w:t> :</w:t>
      </w:r>
      <w:r>
        <w:rPr>
          <w:rFonts w:ascii="Arial" w:eastAsia="Arial" w:hAnsi="Arial" w:cs="Arial"/>
          <w:color w:val="0000FF"/>
          <w:sz w:val="21"/>
          <w:szCs w:val="21"/>
          <w:highlight w:val="white"/>
          <w:u w:val="single"/>
        </w:rPr>
        <w:t xml:space="preserve"> https://www.bioutils.ch/protocoles/14-le-test-elisa</w:t>
      </w:r>
    </w:p>
    <w:sectPr w:rsidR="00DE4867">
      <w:headerReference w:type="default" r:id="rId17"/>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E00" w:rsidRDefault="00F85E00" w:rsidP="00806117">
      <w:pPr>
        <w:spacing w:after="0" w:line="240" w:lineRule="auto"/>
      </w:pPr>
      <w:r>
        <w:separator/>
      </w:r>
    </w:p>
  </w:endnote>
  <w:endnote w:type="continuationSeparator" w:id="0">
    <w:p w:rsidR="00F85E00" w:rsidRDefault="00F85E00" w:rsidP="0080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E00" w:rsidRDefault="00F85E00" w:rsidP="00806117">
      <w:pPr>
        <w:spacing w:after="0" w:line="240" w:lineRule="auto"/>
      </w:pPr>
      <w:r>
        <w:separator/>
      </w:r>
    </w:p>
  </w:footnote>
  <w:footnote w:type="continuationSeparator" w:id="0">
    <w:p w:rsidR="00F85E00" w:rsidRDefault="00F85E00" w:rsidP="00806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17" w:rsidRDefault="00806117">
    <w:pPr>
      <w:pStyle w:val="En-tte"/>
    </w:pPr>
    <w:r>
      <w:t xml:space="preserve">BELLAY Anna </w:t>
    </w:r>
    <w:r>
      <w:tab/>
    </w:r>
    <w:r>
      <w:rPr>
        <w:noProof/>
      </w:rPr>
      <w:drawing>
        <wp:inline distT="0" distB="0" distL="0" distR="0" wp14:anchorId="53F6E25D" wp14:editId="413896D4">
          <wp:extent cx="661670" cy="661670"/>
          <wp:effectExtent l="0" t="0" r="5080" b="5080"/>
          <wp:docPr id="4" name="image1.png" descr="Une image contenant pièce, dessin&#10;&#10;Description générée automatiquement"/>
          <wp:cNvGraphicFramePr/>
          <a:graphic xmlns:a="http://schemas.openxmlformats.org/drawingml/2006/main">
            <a:graphicData uri="http://schemas.openxmlformats.org/drawingml/2006/picture">
              <pic:pic xmlns:pic="http://schemas.openxmlformats.org/drawingml/2006/picture">
                <pic:nvPicPr>
                  <pic:cNvPr id="4" name="image1.png" descr="Une image contenant pièce, dessin&#10;&#10;Description générée automatiquement"/>
                  <pic:cNvPicPr/>
                </pic:nvPicPr>
                <pic:blipFill>
                  <a:blip r:embed="rId1"/>
                  <a:srcRect/>
                  <a:stretch>
                    <a:fillRect/>
                  </a:stretch>
                </pic:blipFill>
                <pic:spPr>
                  <a:xfrm>
                    <a:off x="0" y="0"/>
                    <a:ext cx="661670" cy="661670"/>
                  </a:xfrm>
                  <a:prstGeom prst="rect">
                    <a:avLst/>
                  </a:prstGeom>
                  <a:ln/>
                </pic:spPr>
              </pic:pic>
            </a:graphicData>
          </a:graphic>
        </wp:inline>
      </w:drawing>
    </w:r>
    <w:r>
      <w:tab/>
      <w:t>SET bio 2023-2024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86811"/>
    <w:multiLevelType w:val="multilevel"/>
    <w:tmpl w:val="3DEC0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FD7E28"/>
    <w:multiLevelType w:val="multilevel"/>
    <w:tmpl w:val="53EA9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F44736"/>
    <w:multiLevelType w:val="multilevel"/>
    <w:tmpl w:val="4EBAC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9A643F"/>
    <w:multiLevelType w:val="multilevel"/>
    <w:tmpl w:val="2572D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67"/>
    <w:rsid w:val="00595FCF"/>
    <w:rsid w:val="00806117"/>
    <w:rsid w:val="00DE4867"/>
    <w:rsid w:val="00E3595E"/>
    <w:rsid w:val="00E47BB1"/>
    <w:rsid w:val="00F85E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669B"/>
  <w15:docId w15:val="{433F0FBA-0E98-4E67-97A7-6F479A1E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178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178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E178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styleId="Lienhypertexte">
    <w:name w:val="Hyperlink"/>
    <w:basedOn w:val="Policepardfaut"/>
    <w:uiPriority w:val="99"/>
    <w:unhideWhenUsed/>
    <w:rsid w:val="00443AA0"/>
    <w:rPr>
      <w:color w:val="0000FF"/>
      <w:u w:val="single"/>
    </w:rPr>
  </w:style>
  <w:style w:type="character" w:styleId="lev">
    <w:name w:val="Strong"/>
    <w:basedOn w:val="Policepardfaut"/>
    <w:uiPriority w:val="22"/>
    <w:qFormat/>
    <w:rsid w:val="00443AA0"/>
    <w:rPr>
      <w:b/>
      <w:bCs/>
    </w:rPr>
  </w:style>
  <w:style w:type="paragraph" w:styleId="Paragraphedeliste">
    <w:name w:val="List Paragraph"/>
    <w:basedOn w:val="Normal"/>
    <w:uiPriority w:val="34"/>
    <w:qFormat/>
    <w:rsid w:val="00443AA0"/>
    <w:pPr>
      <w:ind w:left="720"/>
      <w:contextualSpacing/>
    </w:pPr>
  </w:style>
  <w:style w:type="paragraph" w:styleId="NormalWeb">
    <w:name w:val="Normal (Web)"/>
    <w:basedOn w:val="Normal"/>
    <w:uiPriority w:val="99"/>
    <w:semiHidden/>
    <w:unhideWhenUsed/>
    <w:rsid w:val="00443AA0"/>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CE0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CE06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rsid w:val="00CE06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Grille6Couleur-Accentuation5">
    <w:name w:val="Grid Table 6 Colorful Accent 5"/>
    <w:basedOn w:val="TableauNormal"/>
    <w:uiPriority w:val="51"/>
    <w:rsid w:val="00CE063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1Clair">
    <w:name w:val="Grid Table 1 Light"/>
    <w:basedOn w:val="TableauNormal"/>
    <w:uiPriority w:val="46"/>
    <w:rsid w:val="00FE6B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re1Car">
    <w:name w:val="Titre 1 Car"/>
    <w:basedOn w:val="Policepardfaut"/>
    <w:link w:val="Titre1"/>
    <w:uiPriority w:val="9"/>
    <w:rsid w:val="00E178B4"/>
    <w:rPr>
      <w:rFonts w:asciiTheme="majorHAnsi" w:eastAsiaTheme="majorEastAsia" w:hAnsiTheme="majorHAnsi" w:cstheme="majorBidi"/>
      <w:color w:val="2E74B5" w:themeColor="accent1" w:themeShade="BF"/>
      <w:sz w:val="32"/>
      <w:szCs w:val="32"/>
    </w:rPr>
  </w:style>
  <w:style w:type="paragraph" w:styleId="Sous-titre">
    <w:name w:val="Subtitle"/>
    <w:basedOn w:val="Normal"/>
    <w:next w:val="Normal"/>
    <w:link w:val="Sous-titreCar"/>
    <w:rPr>
      <w:color w:val="5A5A5A"/>
    </w:rPr>
  </w:style>
  <w:style w:type="character" w:customStyle="1" w:styleId="Sous-titreCar">
    <w:name w:val="Sous-titre Car"/>
    <w:basedOn w:val="Policepardfaut"/>
    <w:link w:val="Sous-titre"/>
    <w:uiPriority w:val="11"/>
    <w:rsid w:val="00E178B4"/>
    <w:rPr>
      <w:rFonts w:eastAsiaTheme="minorEastAsia"/>
      <w:color w:val="5A5A5A" w:themeColor="text1" w:themeTint="A5"/>
      <w:spacing w:val="15"/>
    </w:rPr>
  </w:style>
  <w:style w:type="table" w:styleId="TableauGrille2-Accentuation5">
    <w:name w:val="Grid Table 2 Accent 5"/>
    <w:basedOn w:val="TableauNormal"/>
    <w:uiPriority w:val="47"/>
    <w:rsid w:val="00E178B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2-Accentuation3">
    <w:name w:val="Grid Table 2 Accent 3"/>
    <w:basedOn w:val="TableauNormal"/>
    <w:uiPriority w:val="47"/>
    <w:rsid w:val="00E178B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lledetableauclaire">
    <w:name w:val="Grid Table Light"/>
    <w:basedOn w:val="TableauNormal"/>
    <w:uiPriority w:val="40"/>
    <w:rsid w:val="00E178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2Car">
    <w:name w:val="Titre 2 Car"/>
    <w:basedOn w:val="Policepardfaut"/>
    <w:link w:val="Titre2"/>
    <w:uiPriority w:val="9"/>
    <w:rsid w:val="00E178B4"/>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E178B4"/>
    <w:rPr>
      <w:rFonts w:asciiTheme="majorHAnsi" w:eastAsiaTheme="majorEastAsia" w:hAnsiTheme="majorHAnsi" w:cstheme="majorBidi"/>
      <w:color w:val="1F4D78" w:themeColor="accent1" w:themeShade="7F"/>
      <w:sz w:val="24"/>
      <w:szCs w:val="24"/>
    </w:rPr>
  </w:style>
  <w:style w:type="table" w:customStyle="1" w:styleId="a">
    <w:basedOn w:val="TableNormal"/>
    <w:pPr>
      <w:spacing w:after="0" w:line="240" w:lineRule="auto"/>
    </w:pPr>
    <w:rPr>
      <w:color w:val="2F5496"/>
    </w:rPr>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806117"/>
    <w:pPr>
      <w:tabs>
        <w:tab w:val="center" w:pos="4536"/>
        <w:tab w:val="right" w:pos="9072"/>
      </w:tabs>
      <w:spacing w:after="0" w:line="240" w:lineRule="auto"/>
    </w:pPr>
  </w:style>
  <w:style w:type="character" w:customStyle="1" w:styleId="En-tteCar">
    <w:name w:val="En-tête Car"/>
    <w:basedOn w:val="Policepardfaut"/>
    <w:link w:val="En-tte"/>
    <w:uiPriority w:val="99"/>
    <w:rsid w:val="00806117"/>
  </w:style>
  <w:style w:type="paragraph" w:styleId="Pieddepage">
    <w:name w:val="footer"/>
    <w:basedOn w:val="Normal"/>
    <w:link w:val="PieddepageCar"/>
    <w:uiPriority w:val="99"/>
    <w:unhideWhenUsed/>
    <w:rsid w:val="008061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6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4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cces.ens-lyon.fr/biotic/immuno/html/elisavar.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zyme.fr/ressources/cyberlettres/techozyme/techozyme42-dosage-analyte-elisa.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ozyme.fr/"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futuremedecin.blogsp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5MMtQZwBMeBsEQXZu2bhBIa2qQ==">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24D7AB-B23C-4297-BB65-679AB0949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563</Words>
  <Characters>3099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UNIVERSITE PARIS SUD</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Romane Pellerin</dc:creator>
  <cp:lastModifiedBy>PGIP</cp:lastModifiedBy>
  <cp:revision>3</cp:revision>
  <dcterms:created xsi:type="dcterms:W3CDTF">2023-12-17T18:33:00Z</dcterms:created>
  <dcterms:modified xsi:type="dcterms:W3CDTF">2023-12-17T20:37:00Z</dcterms:modified>
</cp:coreProperties>
</file>