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1F48A" w14:textId="77777777" w:rsidR="00F22599" w:rsidRDefault="00E3428B">
      <w:pPr>
        <w:pBdr>
          <w:top w:val="nil"/>
          <w:left w:val="nil"/>
          <w:bottom w:val="nil"/>
          <w:right w:val="nil"/>
          <w:between w:val="nil"/>
        </w:pBdr>
        <w:spacing w:before="0" w:after="0"/>
        <w:rPr>
          <w:rFonts w:ascii="Arial" w:eastAsia="Arial" w:hAnsi="Arial" w:cs="Arial"/>
          <w:smallCaps/>
          <w:color w:val="4472C4"/>
          <w:sz w:val="52"/>
          <w:szCs w:val="52"/>
        </w:rPr>
      </w:pPr>
      <w:bookmarkStart w:id="0" w:name="_Hlk83807749"/>
      <w:r>
        <w:rPr>
          <w:rFonts w:ascii="Arial" w:eastAsia="Arial" w:hAnsi="Arial" w:cs="Arial"/>
          <w:smallCaps/>
          <w:color w:val="4472C4"/>
          <w:sz w:val="52"/>
          <w:szCs w:val="52"/>
        </w:rPr>
        <w:t>Transcriptomique</w:t>
      </w:r>
    </w:p>
    <w:p w14:paraId="526F2261" w14:textId="112AC856" w:rsidR="00F22599" w:rsidRDefault="00E3428B">
      <w:pPr>
        <w:pBdr>
          <w:top w:val="single" w:sz="24" w:space="0" w:color="4472C4"/>
          <w:left w:val="single" w:sz="24" w:space="0" w:color="4472C4"/>
          <w:bottom w:val="single" w:sz="24" w:space="0" w:color="4472C4"/>
          <w:right w:val="single" w:sz="24" w:space="0" w:color="4472C4"/>
          <w:between w:val="nil"/>
        </w:pBdr>
        <w:shd w:val="clear" w:color="auto" w:fill="4472C4"/>
        <w:spacing w:after="0"/>
        <w:rPr>
          <w:smallCaps/>
          <w:color w:val="FFFFFF"/>
          <w:sz w:val="24"/>
          <w:szCs w:val="24"/>
        </w:rPr>
      </w:pPr>
      <w:r>
        <w:rPr>
          <w:smallCaps/>
          <w:color w:val="FFFFFF"/>
          <w:sz w:val="24"/>
          <w:szCs w:val="24"/>
        </w:rPr>
        <w:t>Sciences en tête biologie-année 202</w:t>
      </w:r>
      <w:r w:rsidR="00A10A90">
        <w:rPr>
          <w:smallCaps/>
          <w:color w:val="FFFFFF"/>
          <w:sz w:val="24"/>
          <w:szCs w:val="24"/>
        </w:rPr>
        <w:t>1</w:t>
      </w:r>
      <w:r>
        <w:rPr>
          <w:smallCaps/>
          <w:color w:val="FFFFFF"/>
          <w:sz w:val="24"/>
          <w:szCs w:val="24"/>
        </w:rPr>
        <w:t>-202</w:t>
      </w:r>
      <w:r w:rsidR="00A10A90">
        <w:rPr>
          <w:smallCaps/>
          <w:color w:val="FFFFFF"/>
          <w:sz w:val="24"/>
          <w:szCs w:val="24"/>
        </w:rPr>
        <w:t>2</w:t>
      </w:r>
    </w:p>
    <w:p w14:paraId="0C86D1B0" w14:textId="77777777" w:rsidR="00F22599" w:rsidRDefault="00E3428B">
      <w:pPr>
        <w:ind w:firstLine="708"/>
        <w:jc w:val="both"/>
        <w:rPr>
          <w:smallCaps/>
          <w:color w:val="FFFFFF"/>
          <w:sz w:val="24"/>
          <w:szCs w:val="24"/>
          <w:vertAlign w:val="superscript"/>
        </w:rPr>
      </w:pPr>
      <w:r>
        <w:rPr>
          <w:sz w:val="22"/>
          <w:szCs w:val="22"/>
        </w:rPr>
        <w:t>La transcriptomique est un domaine de la génétique qui correspond à l’analyse de l’ensemble des ARN messagers issus d’une transcription. Ainsi, il y a une donnée quantitative qui correspond au taux de transcription d’un gène donné dans des conditions expér</w:t>
      </w:r>
      <w:r>
        <w:rPr>
          <w:sz w:val="22"/>
          <w:szCs w:val="22"/>
        </w:rPr>
        <w:t xml:space="preserve">imentales données. Cependant, ce domaine de la génétique s’appuie sur différentes techniques parmi lesquelles se comptent la technique dite des puces à ADN et celle de la PCR quantitative. </w:t>
      </w:r>
      <w:r>
        <w:rPr>
          <w:sz w:val="22"/>
          <w:szCs w:val="22"/>
          <w:vertAlign w:val="superscript"/>
        </w:rPr>
        <w:t>(1)(2)</w:t>
      </w:r>
    </w:p>
    <w:p w14:paraId="2B26F660" w14:textId="77777777" w:rsidR="00F22599" w:rsidRDefault="00E3428B">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4"/>
          <w:szCs w:val="24"/>
        </w:rPr>
      </w:pPr>
      <w:r>
        <w:rPr>
          <w:smallCaps/>
          <w:color w:val="000000"/>
          <w:sz w:val="24"/>
          <w:szCs w:val="24"/>
        </w:rPr>
        <w:t xml:space="preserve">1. </w:t>
      </w:r>
      <w:r>
        <w:rPr>
          <w:smallCaps/>
          <w:sz w:val="24"/>
          <w:szCs w:val="24"/>
        </w:rPr>
        <w:t>Puces à ADN</w:t>
      </w:r>
    </w:p>
    <w:p w14:paraId="10C68583" w14:textId="1A4C7F37" w:rsidR="00F22599" w:rsidRDefault="00E3428B">
      <w:pPr>
        <w:ind w:firstLine="708"/>
        <w:jc w:val="both"/>
        <w:rPr>
          <w:sz w:val="22"/>
          <w:szCs w:val="22"/>
          <w:vertAlign w:val="superscript"/>
        </w:rPr>
      </w:pPr>
      <w:r>
        <w:rPr>
          <w:sz w:val="22"/>
          <w:szCs w:val="22"/>
        </w:rPr>
        <w:t>La technique des puces à ADN permet d’observe</w:t>
      </w:r>
      <w:r>
        <w:rPr>
          <w:sz w:val="22"/>
          <w:szCs w:val="22"/>
        </w:rPr>
        <w:t xml:space="preserve">r simultanément la transcription de milliers de gènes dans une cellule ou un tissu donné. D’un point de vue technique, une puce à ADN est une petite plaque de verre, de nylon ou de silice recouverte de </w:t>
      </w:r>
      <w:r w:rsidR="00A10A90">
        <w:rPr>
          <w:sz w:val="22"/>
          <w:szCs w:val="22"/>
        </w:rPr>
        <w:t>petites séquences</w:t>
      </w:r>
      <w:r>
        <w:rPr>
          <w:sz w:val="22"/>
          <w:szCs w:val="22"/>
        </w:rPr>
        <w:t xml:space="preserve"> d’ADN nommées sondes. Ces sondes sont</w:t>
      </w:r>
      <w:r>
        <w:rPr>
          <w:sz w:val="22"/>
          <w:szCs w:val="22"/>
        </w:rPr>
        <w:t xml:space="preserve"> soigneusement choisies et sont chacune associées à un unique gène. </w:t>
      </w:r>
      <w:r>
        <w:rPr>
          <w:sz w:val="22"/>
          <w:szCs w:val="22"/>
          <w:vertAlign w:val="superscript"/>
        </w:rPr>
        <w:t>(3)</w:t>
      </w:r>
    </w:p>
    <w:p w14:paraId="2AFCB4C1" w14:textId="75655BC4" w:rsidR="00F22599" w:rsidRDefault="00E3428B">
      <w:pPr>
        <w:ind w:firstLine="708"/>
        <w:jc w:val="both"/>
        <w:rPr>
          <w:sz w:val="22"/>
          <w:szCs w:val="22"/>
          <w:vertAlign w:val="superscript"/>
        </w:rPr>
      </w:pPr>
      <w:r>
        <w:rPr>
          <w:sz w:val="22"/>
          <w:szCs w:val="22"/>
        </w:rPr>
        <w:t xml:space="preserve">Une fois la puce préparée, les ARNm sont extraits d’un échantillon de tissu et chaque ARNm est marqué d’un fluorochrome. Ensuite, les puces sont mises en présence de l’ARNm marquée et </w:t>
      </w:r>
      <w:r>
        <w:rPr>
          <w:sz w:val="22"/>
          <w:szCs w:val="22"/>
        </w:rPr>
        <w:t>les séquences nucléotidiques s’hybrident</w:t>
      </w:r>
      <w:r w:rsidR="00FB2FC4">
        <w:rPr>
          <w:sz w:val="22"/>
          <w:szCs w:val="22"/>
        </w:rPr>
        <w:t xml:space="preserve"> </w:t>
      </w:r>
      <w:r>
        <w:rPr>
          <w:sz w:val="22"/>
          <w:szCs w:val="22"/>
        </w:rPr>
        <w:t xml:space="preserve">(Cf. </w:t>
      </w:r>
      <w:r>
        <w:rPr>
          <w:i/>
          <w:sz w:val="22"/>
          <w:szCs w:val="22"/>
        </w:rPr>
        <w:t>Fig. 1 [1]</w:t>
      </w:r>
      <w:r>
        <w:rPr>
          <w:sz w:val="22"/>
          <w:szCs w:val="22"/>
        </w:rPr>
        <w:t>).</w:t>
      </w:r>
      <w:r>
        <w:rPr>
          <w:sz w:val="22"/>
          <w:szCs w:val="22"/>
          <w:vertAlign w:val="superscript"/>
        </w:rPr>
        <w:t>(4)</w:t>
      </w:r>
      <w:r>
        <w:rPr>
          <w:sz w:val="22"/>
          <w:szCs w:val="22"/>
        </w:rPr>
        <w:t xml:space="preserve"> Ensuite, une fois les séquences appariées, la plaque est lavée pour être débarrassée des séquences ARNm non appariées et analysée. Chaque sonde est ainsi colorée se</w:t>
      </w:r>
      <w:r w:rsidR="00A0195A">
        <w:rPr>
          <w:sz w:val="22"/>
          <w:szCs w:val="22"/>
        </w:rPr>
        <w:t>l</w:t>
      </w:r>
      <w:r>
        <w:rPr>
          <w:sz w:val="22"/>
          <w:szCs w:val="22"/>
        </w:rPr>
        <w:t>on</w:t>
      </w:r>
      <w:r>
        <w:rPr>
          <w:sz w:val="22"/>
          <w:szCs w:val="22"/>
        </w:rPr>
        <w:t xml:space="preserve"> une certaine longueur d’on</w:t>
      </w:r>
      <w:r>
        <w:rPr>
          <w:sz w:val="22"/>
          <w:szCs w:val="22"/>
        </w:rPr>
        <w:t xml:space="preserve">de (Cf. </w:t>
      </w:r>
      <w:r>
        <w:rPr>
          <w:i/>
          <w:sz w:val="22"/>
          <w:szCs w:val="22"/>
        </w:rPr>
        <w:t>Fig. 1 [2]</w:t>
      </w:r>
      <w:r>
        <w:rPr>
          <w:sz w:val="22"/>
          <w:szCs w:val="22"/>
        </w:rPr>
        <w:t xml:space="preserve">) et donc correspond à un ARNm particulier. De cette façon, il est possible de quantifier l’expression de gènes définis dans l'échantillon étudié. </w:t>
      </w:r>
      <w:r>
        <w:rPr>
          <w:sz w:val="22"/>
          <w:szCs w:val="22"/>
          <w:vertAlign w:val="superscript"/>
        </w:rPr>
        <w:t>(2)</w:t>
      </w:r>
      <w:r>
        <w:rPr>
          <w:noProof/>
        </w:rPr>
        <w:drawing>
          <wp:anchor distT="114300" distB="114300" distL="114300" distR="114300" simplePos="0" relativeHeight="251658240" behindDoc="0" locked="0" layoutInCell="1" hidden="0" allowOverlap="1" wp14:anchorId="762B6109" wp14:editId="79368AB4">
            <wp:simplePos x="0" y="0"/>
            <wp:positionH relativeFrom="column">
              <wp:posOffset>2524125</wp:posOffset>
            </wp:positionH>
            <wp:positionV relativeFrom="paragraph">
              <wp:posOffset>1504950</wp:posOffset>
            </wp:positionV>
            <wp:extent cx="1676400" cy="3630937"/>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78633" t="33089" r="7782" b="14315"/>
                    <a:stretch>
                      <a:fillRect/>
                    </a:stretch>
                  </pic:blipFill>
                  <pic:spPr>
                    <a:xfrm>
                      <a:off x="0" y="0"/>
                      <a:ext cx="1676400" cy="3630937"/>
                    </a:xfrm>
                    <a:prstGeom prst="rect">
                      <a:avLst/>
                    </a:prstGeom>
                    <a:ln/>
                  </pic:spPr>
                </pic:pic>
              </a:graphicData>
            </a:graphic>
          </wp:anchor>
        </w:drawing>
      </w:r>
    </w:p>
    <w:p w14:paraId="3BAF1280" w14:textId="77777777" w:rsidR="00F22599" w:rsidRDefault="00F22599">
      <w:pPr>
        <w:jc w:val="center"/>
        <w:rPr>
          <w:sz w:val="22"/>
          <w:szCs w:val="22"/>
        </w:rPr>
      </w:pPr>
    </w:p>
    <w:p w14:paraId="46658FCB" w14:textId="77777777" w:rsidR="00F22599" w:rsidRDefault="00E3428B">
      <w:pPr>
        <w:jc w:val="center"/>
        <w:rPr>
          <w:sz w:val="22"/>
          <w:szCs w:val="22"/>
        </w:rPr>
      </w:pPr>
      <w:r>
        <w:rPr>
          <w:noProof/>
        </w:rPr>
        <mc:AlternateContent>
          <mc:Choice Requires="wps">
            <w:drawing>
              <wp:anchor distT="114300" distB="114300" distL="114300" distR="114300" simplePos="0" relativeHeight="251659264" behindDoc="0" locked="0" layoutInCell="1" hidden="0" allowOverlap="1" wp14:anchorId="3C742615" wp14:editId="4EE5D5DC">
                <wp:simplePos x="0" y="0"/>
                <wp:positionH relativeFrom="column">
                  <wp:posOffset>2476500</wp:posOffset>
                </wp:positionH>
                <wp:positionV relativeFrom="paragraph">
                  <wp:posOffset>295275</wp:posOffset>
                </wp:positionV>
                <wp:extent cx="370739" cy="382509"/>
                <wp:effectExtent l="0" t="0" r="0" b="0"/>
                <wp:wrapSquare wrapText="bothSides" distT="114300" distB="114300" distL="114300" distR="114300"/>
                <wp:docPr id="8" name="Zone de texte 8"/>
                <wp:cNvGraphicFramePr/>
                <a:graphic xmlns:a="http://schemas.openxmlformats.org/drawingml/2006/main">
                  <a:graphicData uri="http://schemas.microsoft.com/office/word/2010/wordprocessingShape">
                    <wps:wsp>
                      <wps:cNvSpPr txBox="1"/>
                      <wps:spPr>
                        <a:xfrm>
                          <a:off x="2564050" y="278700"/>
                          <a:ext cx="393600" cy="393600"/>
                        </a:xfrm>
                        <a:prstGeom prst="rect">
                          <a:avLst/>
                        </a:prstGeom>
                        <a:noFill/>
                        <a:ln>
                          <a:noFill/>
                        </a:ln>
                      </wps:spPr>
                      <wps:txbx>
                        <w:txbxContent>
                          <w:p w14:paraId="77F594CA" w14:textId="77777777" w:rsidR="00F22599" w:rsidRDefault="00E3428B">
                            <w:pPr>
                              <w:spacing w:before="0" w:after="0" w:line="240" w:lineRule="auto"/>
                              <w:textDirection w:val="btLr"/>
                            </w:pPr>
                            <w:r>
                              <w:rPr>
                                <w:rFonts w:ascii="Arial" w:eastAsia="Arial" w:hAnsi="Arial" w:cs="Arial"/>
                                <w:color w:val="000000"/>
                                <w:sz w:val="28"/>
                              </w:rPr>
                              <w:t>[1]</w:t>
                            </w:r>
                          </w:p>
                        </w:txbxContent>
                      </wps:txbx>
                      <wps:bodyPr spcFirstLastPara="1" wrap="square" lIns="91425" tIns="91425" rIns="91425" bIns="91425" anchor="t" anchorCtr="0">
                        <a:noAutofit/>
                      </wps:bodyPr>
                    </wps:wsp>
                  </a:graphicData>
                </a:graphic>
              </wp:anchor>
            </w:drawing>
          </mc:Choice>
          <mc:Fallback>
            <w:pict>
              <v:shapetype w14:anchorId="3C742615" id="_x0000_t202" coordsize="21600,21600" o:spt="202" path="m,l,21600r21600,l21600,xe">
                <v:stroke joinstyle="miter"/>
                <v:path gradientshapeok="t" o:connecttype="rect"/>
              </v:shapetype>
              <v:shape id="Zone de texte 8" o:spid="_x0000_s1026" type="#_x0000_t202" style="position:absolute;left:0;text-align:left;margin-left:195pt;margin-top:23.25pt;width:29.2pt;height:30.1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" filled="f" stroked="f">
                <v:textbox inset="2.53958mm,2.53958mm,2.53958mm,2.53958mm">
                  <w:txbxContent>
                    <w:p w14:paraId="77F594CA" w14:textId="77777777" w:rsidR="00F22599" w:rsidRDefault="00E3428B">
                      <w:pPr>
                        <w:spacing w:before="0" w:after="0" w:line="240" w:lineRule="auto"/>
                        <w:textDirection w:val="btLr"/>
                      </w:pPr>
                      <w:r>
                        <w:rPr>
                          <w:rFonts w:ascii="Arial" w:eastAsia="Arial" w:hAnsi="Arial" w:cs="Arial"/>
                          <w:color w:val="000000"/>
                          <w:sz w:val="28"/>
                        </w:rPr>
                        <w:t>[1]</w:t>
                      </w:r>
                    </w:p>
                  </w:txbxContent>
                </v:textbox>
                <w10:wrap type="square"/>
              </v:shape>
            </w:pict>
          </mc:Fallback>
        </mc:AlternateContent>
      </w:r>
    </w:p>
    <w:p w14:paraId="414A29AD" w14:textId="77777777" w:rsidR="00F22599" w:rsidRDefault="00F22599">
      <w:pPr>
        <w:jc w:val="center"/>
        <w:rPr>
          <w:sz w:val="22"/>
          <w:szCs w:val="22"/>
        </w:rPr>
      </w:pPr>
    </w:p>
    <w:p w14:paraId="552D9DE6" w14:textId="77777777" w:rsidR="00F22599" w:rsidRDefault="00F22599">
      <w:pPr>
        <w:jc w:val="center"/>
        <w:rPr>
          <w:sz w:val="22"/>
          <w:szCs w:val="22"/>
        </w:rPr>
      </w:pPr>
    </w:p>
    <w:p w14:paraId="520F6868" w14:textId="77777777" w:rsidR="00F22599" w:rsidRDefault="00F22599">
      <w:pPr>
        <w:jc w:val="center"/>
        <w:rPr>
          <w:sz w:val="22"/>
          <w:szCs w:val="22"/>
        </w:rPr>
      </w:pPr>
    </w:p>
    <w:p w14:paraId="34252E2E" w14:textId="77777777" w:rsidR="00F22599" w:rsidRDefault="00E3428B">
      <w:pPr>
        <w:jc w:val="center"/>
        <w:rPr>
          <w:sz w:val="22"/>
          <w:szCs w:val="22"/>
        </w:rPr>
      </w:pPr>
      <w:r>
        <w:rPr>
          <w:noProof/>
        </w:rPr>
        <mc:AlternateContent>
          <mc:Choice Requires="wps">
            <w:drawing>
              <wp:anchor distT="114300" distB="114300" distL="114300" distR="114300" simplePos="0" relativeHeight="251660288" behindDoc="0" locked="0" layoutInCell="1" hidden="0" allowOverlap="1" wp14:anchorId="624A37C8" wp14:editId="544ACBD9">
                <wp:simplePos x="0" y="0"/>
                <wp:positionH relativeFrom="column">
                  <wp:posOffset>3829050</wp:posOffset>
                </wp:positionH>
                <wp:positionV relativeFrom="paragraph">
                  <wp:posOffset>400050</wp:posOffset>
                </wp:positionV>
                <wp:extent cx="370739" cy="370739"/>
                <wp:effectExtent l="0" t="0" r="0" b="0"/>
                <wp:wrapSquare wrapText="bothSides" distT="114300" distB="114300" distL="114300" distR="114300"/>
                <wp:docPr id="10" name="Zone de texte 10"/>
                <wp:cNvGraphicFramePr/>
                <a:graphic xmlns:a="http://schemas.openxmlformats.org/drawingml/2006/main">
                  <a:graphicData uri="http://schemas.microsoft.com/office/word/2010/wordprocessingShape">
                    <wps:wsp>
                      <wps:cNvSpPr txBox="1"/>
                      <wps:spPr>
                        <a:xfrm>
                          <a:off x="2564050" y="278700"/>
                          <a:ext cx="393600" cy="393600"/>
                        </a:xfrm>
                        <a:prstGeom prst="rect">
                          <a:avLst/>
                        </a:prstGeom>
                        <a:noFill/>
                        <a:ln>
                          <a:noFill/>
                        </a:ln>
                      </wps:spPr>
                      <wps:txbx>
                        <w:txbxContent>
                          <w:p w14:paraId="50680EA7" w14:textId="77777777" w:rsidR="00F22599" w:rsidRDefault="00E3428B">
                            <w:pPr>
                              <w:spacing w:before="0" w:after="0" w:line="240" w:lineRule="auto"/>
                              <w:textDirection w:val="btLr"/>
                            </w:pPr>
                            <w:r>
                              <w:rPr>
                                <w:rFonts w:ascii="Arial" w:eastAsia="Arial" w:hAnsi="Arial" w:cs="Arial"/>
                                <w:color w:val="FFFFFF"/>
                                <w:sz w:val="28"/>
                              </w:rPr>
                              <w:t>[2]</w:t>
                            </w:r>
                          </w:p>
                        </w:txbxContent>
                      </wps:txbx>
                      <wps:bodyPr spcFirstLastPara="1" wrap="square" lIns="91425" tIns="91425" rIns="91425" bIns="91425" anchor="t" anchorCtr="0">
                        <a:noAutofit/>
                      </wps:bodyPr>
                    </wps:wsp>
                  </a:graphicData>
                </a:graphic>
              </wp:anchor>
            </w:drawing>
          </mc:Choice>
          <mc:Fallback>
            <w:pict>
              <v:shape w14:anchorId="624A37C8" id="Zone de texte 10" o:spid="_x0000_s1027" type="#_x0000_t202" style="position:absolute;left:0;text-align:left;margin-left:301.5pt;margin-top:31.5pt;width:29.2pt;height:29.2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" filled="f" stroked="f">
                <v:textbox inset="2.53958mm,2.53958mm,2.53958mm,2.53958mm">
                  <w:txbxContent>
                    <w:p w14:paraId="50680EA7" w14:textId="77777777" w:rsidR="00F22599" w:rsidRDefault="00E3428B">
                      <w:pPr>
                        <w:spacing w:before="0" w:after="0" w:line="240" w:lineRule="auto"/>
                        <w:textDirection w:val="btLr"/>
                      </w:pPr>
                      <w:r>
                        <w:rPr>
                          <w:rFonts w:ascii="Arial" w:eastAsia="Arial" w:hAnsi="Arial" w:cs="Arial"/>
                          <w:color w:val="FFFFFF"/>
                          <w:sz w:val="28"/>
                        </w:rPr>
                        <w:t>[2]</w:t>
                      </w:r>
                    </w:p>
                  </w:txbxContent>
                </v:textbox>
                <w10:wrap type="square"/>
              </v:shape>
            </w:pict>
          </mc:Fallback>
        </mc:AlternateContent>
      </w:r>
    </w:p>
    <w:p w14:paraId="116970BB" w14:textId="77777777" w:rsidR="00F22599" w:rsidRDefault="00E3428B">
      <w:pPr>
        <w:jc w:val="center"/>
        <w:rPr>
          <w:sz w:val="22"/>
          <w:szCs w:val="22"/>
        </w:rPr>
      </w:pPr>
      <w:r>
        <w:rPr>
          <w:sz w:val="22"/>
          <w:szCs w:val="22"/>
        </w:rPr>
        <w:t xml:space="preserve"> </w:t>
      </w:r>
      <w:r>
        <w:rPr>
          <w:noProof/>
        </w:rPr>
        <mc:AlternateContent>
          <mc:Choice Requires="wps">
            <w:drawing>
              <wp:anchor distT="0" distB="0" distL="114300" distR="114300" simplePos="0" relativeHeight="251661312" behindDoc="0" locked="0" layoutInCell="1" hidden="0" allowOverlap="1" wp14:anchorId="547B15A7" wp14:editId="10FA8EFF">
                <wp:simplePos x="0" y="0"/>
                <wp:positionH relativeFrom="column">
                  <wp:posOffset>1295400</wp:posOffset>
                </wp:positionH>
                <wp:positionV relativeFrom="paragraph">
                  <wp:posOffset>142943</wp:posOffset>
                </wp:positionV>
                <wp:extent cx="1394308" cy="1556659"/>
                <wp:effectExtent l="0" t="0" r="0" b="0"/>
                <wp:wrapNone/>
                <wp:docPr id="9" name="Rectangle 9"/>
                <wp:cNvGraphicFramePr/>
                <a:graphic xmlns:a="http://schemas.openxmlformats.org/drawingml/2006/main">
                  <a:graphicData uri="http://schemas.microsoft.com/office/word/2010/wordprocessingShape">
                    <wps:wsp>
                      <wps:cNvSpPr/>
                      <wps:spPr>
                        <a:xfrm>
                          <a:off x="4658375" y="3140601"/>
                          <a:ext cx="1375200" cy="1460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D4B4979" w14:textId="77777777" w:rsidR="00F22599" w:rsidRDefault="00E3428B">
                            <w:pPr>
                              <w:spacing w:line="275" w:lineRule="auto"/>
                              <w:jc w:val="both"/>
                              <w:textDirection w:val="btLr"/>
                            </w:pPr>
                            <w:r>
                              <w:rPr>
                                <w:i/>
                                <w:color w:val="1F3863"/>
                              </w:rPr>
                              <w:t xml:space="preserve">Figure 1 : </w:t>
                            </w:r>
                          </w:p>
                          <w:p w14:paraId="4C4E9FBE" w14:textId="77777777" w:rsidR="00F22599" w:rsidRDefault="00E3428B">
                            <w:pPr>
                              <w:spacing w:line="275" w:lineRule="auto"/>
                              <w:textDirection w:val="btLr"/>
                            </w:pPr>
                            <w:r>
                              <w:rPr>
                                <w:color w:val="000000"/>
                              </w:rPr>
                              <w:t>Schéma d’une puce ADN après hybridation</w:t>
                            </w:r>
                          </w:p>
                          <w:p w14:paraId="7F530E5E" w14:textId="77777777" w:rsidR="00F22599" w:rsidRDefault="00E3428B">
                            <w:pPr>
                              <w:spacing w:line="275" w:lineRule="auto"/>
                              <w:jc w:val="both"/>
                              <w:textDirection w:val="btLr"/>
                            </w:pPr>
                            <w:r>
                              <w:rPr>
                                <w:smallCaps/>
                                <w:color w:val="1F3863"/>
                              </w:rPr>
                              <w:t>Source :https://www.imm.cnrs.fr/transcriptome/spip.php?rubrique11</w:t>
                            </w:r>
                          </w:p>
                        </w:txbxContent>
                      </wps:txbx>
                      <wps:bodyPr spcFirstLastPara="1" wrap="square" lIns="91425" tIns="45700" rIns="91425" bIns="45700" anchor="t" anchorCtr="0">
                        <a:noAutofit/>
                      </wps:bodyPr>
                    </wps:wsp>
                  </a:graphicData>
                </a:graphic>
              </wp:anchor>
            </w:drawing>
          </mc:Choice>
          <mc:Fallback>
            <w:pict>
              <v:rect w14:anchorId="547B15A7" id="Rectangle 9" o:spid="_x0000_s1028" style="position:absolute;left:0;text-align:left;margin-left:102pt;margin-top:11.25pt;width:109.8pt;height:12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" fillcolor="white [3201]">
                <v:stroke startarrowwidth="narrow" startarrowlength="short" endarrowwidth="narrow" endarrowlength="short" joinstyle="round"/>
                <v:textbox inset="2.53958mm,1.2694mm,2.53958mm,1.2694mm">
                  <w:txbxContent>
                    <w:p w14:paraId="7D4B4979" w14:textId="77777777" w:rsidR="00F22599" w:rsidRDefault="00E3428B">
                      <w:pPr>
                        <w:spacing w:line="275" w:lineRule="auto"/>
                        <w:jc w:val="both"/>
                        <w:textDirection w:val="btLr"/>
                      </w:pPr>
                      <w:r>
                        <w:rPr>
                          <w:i/>
                          <w:color w:val="1F3863"/>
                        </w:rPr>
                        <w:t xml:space="preserve">Figure 1 : </w:t>
                      </w:r>
                    </w:p>
                    <w:p w14:paraId="4C4E9FBE" w14:textId="77777777" w:rsidR="00F22599" w:rsidRDefault="00E3428B">
                      <w:pPr>
                        <w:spacing w:line="275" w:lineRule="auto"/>
                        <w:textDirection w:val="btLr"/>
                      </w:pPr>
                      <w:r>
                        <w:rPr>
                          <w:color w:val="000000"/>
                        </w:rPr>
                        <w:t>Schéma d’une puce ADN après hybridation</w:t>
                      </w:r>
                    </w:p>
                    <w:p w14:paraId="7F530E5E" w14:textId="77777777" w:rsidR="00F22599" w:rsidRDefault="00E3428B">
                      <w:pPr>
                        <w:spacing w:line="275" w:lineRule="auto"/>
                        <w:jc w:val="both"/>
                        <w:textDirection w:val="btLr"/>
                      </w:pPr>
                      <w:r>
                        <w:rPr>
                          <w:smallCaps/>
                          <w:color w:val="1F3863"/>
                        </w:rPr>
                        <w:t>Source :https://www.imm.cnrs.fr/transcriptome/spip.php?rubrique11</w:t>
                      </w:r>
                    </w:p>
                  </w:txbxContent>
                </v:textbox>
              </v:rect>
            </w:pict>
          </mc:Fallback>
        </mc:AlternateContent>
      </w:r>
    </w:p>
    <w:p w14:paraId="15167D7E" w14:textId="77777777" w:rsidR="00F22599" w:rsidRDefault="00F22599">
      <w:pPr>
        <w:jc w:val="center"/>
        <w:rPr>
          <w:sz w:val="22"/>
          <w:szCs w:val="22"/>
        </w:rPr>
      </w:pPr>
    </w:p>
    <w:p w14:paraId="1AD91029" w14:textId="77777777" w:rsidR="00F22599" w:rsidRDefault="00F22599">
      <w:pPr>
        <w:jc w:val="center"/>
        <w:rPr>
          <w:sz w:val="22"/>
          <w:szCs w:val="22"/>
        </w:rPr>
      </w:pPr>
    </w:p>
    <w:p w14:paraId="144DB004" w14:textId="77777777" w:rsidR="00F22599" w:rsidRDefault="00F22599">
      <w:pPr>
        <w:jc w:val="center"/>
        <w:rPr>
          <w:sz w:val="22"/>
          <w:szCs w:val="22"/>
        </w:rPr>
      </w:pPr>
    </w:p>
    <w:p w14:paraId="036648FF" w14:textId="77777777" w:rsidR="00F22599" w:rsidRDefault="00F22599">
      <w:pPr>
        <w:jc w:val="center"/>
        <w:rPr>
          <w:sz w:val="22"/>
          <w:szCs w:val="22"/>
        </w:rPr>
      </w:pPr>
    </w:p>
    <w:p w14:paraId="060B1351" w14:textId="77777777" w:rsidR="00F22599" w:rsidRDefault="00F22599">
      <w:pPr>
        <w:jc w:val="center"/>
        <w:rPr>
          <w:sz w:val="22"/>
          <w:szCs w:val="22"/>
        </w:rPr>
      </w:pPr>
    </w:p>
    <w:p w14:paraId="71F0B223" w14:textId="77777777" w:rsidR="00F22599" w:rsidRDefault="00E3428B">
      <w:pPr>
        <w:ind w:firstLine="708"/>
        <w:jc w:val="both"/>
        <w:rPr>
          <w:sz w:val="22"/>
          <w:szCs w:val="22"/>
        </w:rPr>
      </w:pPr>
      <w:r>
        <w:rPr>
          <w:sz w:val="22"/>
          <w:szCs w:val="22"/>
        </w:rPr>
        <w:tab/>
      </w:r>
    </w:p>
    <w:p w14:paraId="39EECCE5" w14:textId="77777777" w:rsidR="00F22599" w:rsidRDefault="00E3428B">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r>
        <w:rPr>
          <w:smallCaps/>
          <w:color w:val="000000"/>
          <w:sz w:val="22"/>
          <w:szCs w:val="22"/>
        </w:rPr>
        <w:lastRenderedPageBreak/>
        <w:t xml:space="preserve">2. </w:t>
      </w:r>
      <w:r>
        <w:rPr>
          <w:smallCaps/>
          <w:sz w:val="22"/>
          <w:szCs w:val="22"/>
        </w:rPr>
        <w:t>PCR quantitative</w:t>
      </w:r>
    </w:p>
    <w:p w14:paraId="1937417D" w14:textId="3985331C" w:rsidR="00F22599" w:rsidRDefault="00E3428B">
      <w:pPr>
        <w:ind w:firstLine="708"/>
        <w:jc w:val="both"/>
        <w:rPr>
          <w:sz w:val="22"/>
          <w:szCs w:val="22"/>
          <w:vertAlign w:val="superscript"/>
        </w:rPr>
      </w:pPr>
      <w:bookmarkStart w:id="1" w:name="_heading=h.gjdgxs" w:colFirst="0" w:colLast="0"/>
      <w:bookmarkEnd w:id="1"/>
      <w:r>
        <w:rPr>
          <w:sz w:val="22"/>
          <w:szCs w:val="22"/>
        </w:rPr>
        <w:t>Aussi appelée PCR en temps réel, la PCR quantitative correspond à l‘analyse de la quantité d’ADN au fil du temps à partir de la quantité initiale d’ADN et du nombre de cycles d'amplification pour un gène donné. Ainsi, au lieu de connaître uniquement une qu</w:t>
      </w:r>
      <w:r>
        <w:rPr>
          <w:sz w:val="22"/>
          <w:szCs w:val="22"/>
        </w:rPr>
        <w:t>antité d’ADN au terme de l’expérience ou d’une suite de 40 cycles d'amplification, cette quantité est connue en temps réel.</w:t>
      </w:r>
      <w:r w:rsidR="00C55059">
        <w:rPr>
          <w:sz w:val="22"/>
          <w:szCs w:val="22"/>
        </w:rPr>
        <w:t xml:space="preserve"> </w:t>
      </w:r>
      <w:r>
        <w:rPr>
          <w:sz w:val="22"/>
          <w:szCs w:val="22"/>
          <w:vertAlign w:val="superscript"/>
        </w:rPr>
        <w:t>(5)</w:t>
      </w:r>
    </w:p>
    <w:p w14:paraId="77D81925" w14:textId="77777777" w:rsidR="00F22599" w:rsidRDefault="00E3428B">
      <w:pPr>
        <w:ind w:firstLine="708"/>
        <w:jc w:val="both"/>
        <w:rPr>
          <w:sz w:val="22"/>
          <w:szCs w:val="22"/>
          <w:vertAlign w:val="superscript"/>
        </w:rPr>
      </w:pPr>
      <w:bookmarkStart w:id="2" w:name="_heading=h.vc29qi4vlwyg" w:colFirst="0" w:colLast="0"/>
      <w:bookmarkEnd w:id="2"/>
      <w:r>
        <w:rPr>
          <w:sz w:val="22"/>
          <w:szCs w:val="22"/>
        </w:rPr>
        <w:t>Cette information est obtenue grâce au fixage de fluorochromes uniquement actif sur de l’ADN double brin. Ainsi, les longueurs d’</w:t>
      </w:r>
      <w:r>
        <w:rPr>
          <w:sz w:val="22"/>
          <w:szCs w:val="22"/>
        </w:rPr>
        <w:t xml:space="preserve">ondes associées sont émises lorsque les brins complémentaires sont répliqués et ainsi les quantités absolues et relatives d’ADN sont connues en temps réel. </w:t>
      </w:r>
      <w:r>
        <w:rPr>
          <w:sz w:val="22"/>
          <w:szCs w:val="22"/>
          <w:vertAlign w:val="superscript"/>
        </w:rPr>
        <w:t>(6)</w:t>
      </w:r>
    </w:p>
    <w:p w14:paraId="38499E3F" w14:textId="5BB94624" w:rsidR="00F22599" w:rsidRDefault="00E3428B">
      <w:pPr>
        <w:ind w:firstLine="708"/>
        <w:jc w:val="both"/>
        <w:rPr>
          <w:sz w:val="22"/>
          <w:szCs w:val="22"/>
        </w:rPr>
      </w:pPr>
      <w:bookmarkStart w:id="3" w:name="_heading=h.5xtujympleet" w:colFirst="0" w:colLast="0"/>
      <w:bookmarkEnd w:id="3"/>
      <w:r>
        <w:rPr>
          <w:sz w:val="22"/>
          <w:szCs w:val="22"/>
        </w:rPr>
        <w:t xml:space="preserve">Ainsi, la quantité d’ADN répond à une équation </w:t>
      </w:r>
      <w:r w:rsidR="00C55059">
        <w:rPr>
          <w:sz w:val="22"/>
          <w:szCs w:val="22"/>
        </w:rPr>
        <w:t>simple :</w:t>
      </w:r>
      <w:r>
        <w:rPr>
          <w:sz w:val="22"/>
          <w:szCs w:val="22"/>
        </w:rPr>
        <w:t xml:space="preserve"> </w:t>
      </w:r>
    </w:p>
    <w:p w14:paraId="7B48AFD3" w14:textId="77777777" w:rsidR="00F22599" w:rsidRDefault="00E3428B">
      <w:pPr>
        <w:ind w:firstLine="708"/>
        <w:jc w:val="center"/>
        <w:rPr>
          <w:b/>
          <w:sz w:val="28"/>
          <w:szCs w:val="28"/>
        </w:rPr>
      </w:pPr>
      <w:bookmarkStart w:id="4" w:name="_heading=h.jbwh1zcv298z" w:colFirst="0" w:colLast="0"/>
      <w:bookmarkEnd w:id="4"/>
      <w:r>
        <w:rPr>
          <w:b/>
          <w:sz w:val="28"/>
          <w:szCs w:val="28"/>
        </w:rPr>
        <w:t>X</w:t>
      </w:r>
      <w:r>
        <w:rPr>
          <w:b/>
          <w:sz w:val="28"/>
          <w:szCs w:val="28"/>
          <w:vertAlign w:val="subscript"/>
        </w:rPr>
        <w:t>n</w:t>
      </w:r>
      <w:r>
        <w:rPr>
          <w:b/>
          <w:sz w:val="28"/>
          <w:szCs w:val="28"/>
        </w:rPr>
        <w:t>=X</w:t>
      </w:r>
      <w:r>
        <w:rPr>
          <w:b/>
          <w:sz w:val="28"/>
          <w:szCs w:val="28"/>
          <w:vertAlign w:val="subscript"/>
        </w:rPr>
        <w:t>0</w:t>
      </w:r>
      <w:r>
        <w:rPr>
          <w:b/>
          <w:sz w:val="28"/>
          <w:szCs w:val="28"/>
        </w:rPr>
        <w:t>AE</w:t>
      </w:r>
      <w:r>
        <w:rPr>
          <w:b/>
          <w:sz w:val="28"/>
          <w:szCs w:val="28"/>
          <w:vertAlign w:val="superscript"/>
        </w:rPr>
        <w:t>n</w:t>
      </w:r>
      <w:r>
        <w:rPr>
          <w:b/>
          <w:sz w:val="28"/>
          <w:szCs w:val="28"/>
        </w:rPr>
        <w:t xml:space="preserve"> </w:t>
      </w:r>
    </w:p>
    <w:p w14:paraId="2E8E22CC" w14:textId="2D6CA212" w:rsidR="00F22599" w:rsidRDefault="00C55059">
      <w:pPr>
        <w:ind w:left="720" w:firstLine="720"/>
        <w:jc w:val="both"/>
        <w:rPr>
          <w:sz w:val="22"/>
          <w:szCs w:val="22"/>
          <w:vertAlign w:val="superscript"/>
        </w:rPr>
      </w:pPr>
      <w:bookmarkStart w:id="5" w:name="_heading=h.713vcngvfbpy" w:colFirst="0" w:colLast="0"/>
      <w:bookmarkEnd w:id="5"/>
      <w:r>
        <w:rPr>
          <w:sz w:val="22"/>
          <w:szCs w:val="22"/>
        </w:rPr>
        <w:t>Où</w:t>
      </w:r>
      <w:r w:rsidR="00E3428B">
        <w:rPr>
          <w:sz w:val="22"/>
          <w:szCs w:val="22"/>
        </w:rPr>
        <w:t xml:space="preserve"> X</w:t>
      </w:r>
      <w:r w:rsidR="00E3428B">
        <w:rPr>
          <w:sz w:val="22"/>
          <w:szCs w:val="22"/>
          <w:vertAlign w:val="subscript"/>
        </w:rPr>
        <w:t>n</w:t>
      </w:r>
      <w:r w:rsidR="00E3428B">
        <w:rPr>
          <w:sz w:val="22"/>
          <w:szCs w:val="22"/>
        </w:rPr>
        <w:t xml:space="preserve"> est la quantité d’ADN ap</w:t>
      </w:r>
      <w:r w:rsidR="00E3428B">
        <w:rPr>
          <w:sz w:val="22"/>
          <w:szCs w:val="22"/>
        </w:rPr>
        <w:t>rès n cycles d’amplification, X</w:t>
      </w:r>
      <w:r w:rsidR="00E3428B">
        <w:rPr>
          <w:sz w:val="22"/>
          <w:szCs w:val="22"/>
          <w:vertAlign w:val="subscript"/>
        </w:rPr>
        <w:t>0</w:t>
      </w:r>
      <w:r w:rsidR="00E3428B">
        <w:rPr>
          <w:sz w:val="22"/>
          <w:szCs w:val="22"/>
        </w:rPr>
        <w:t xml:space="preserve"> la quantité initiale d’ADN et AE l'efficacité d'amplification telle que 0&lt;AE&lt;2. </w:t>
      </w:r>
      <w:r w:rsidR="00E3428B">
        <w:rPr>
          <w:sz w:val="22"/>
          <w:szCs w:val="22"/>
          <w:vertAlign w:val="superscript"/>
        </w:rPr>
        <w:t>(7)</w:t>
      </w:r>
    </w:p>
    <w:p w14:paraId="1DD9AA61" w14:textId="77777777" w:rsidR="00F22599" w:rsidRDefault="00E3428B">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bookmarkStart w:id="6" w:name="_heading=h.hmxgbljvdzqa" w:colFirst="0" w:colLast="0"/>
      <w:bookmarkEnd w:id="6"/>
      <w:r>
        <w:rPr>
          <w:smallCaps/>
          <w:color w:val="000000"/>
          <w:sz w:val="22"/>
          <w:szCs w:val="22"/>
        </w:rPr>
        <w:t xml:space="preserve">Avantages et inconvénients </w:t>
      </w:r>
      <w:r>
        <w:rPr>
          <w:smallCaps/>
          <w:color w:val="000000"/>
          <w:sz w:val="22"/>
          <w:szCs w:val="22"/>
          <w:vertAlign w:val="superscript"/>
        </w:rPr>
        <w:t>(2)(3)(4)(5)(6)</w:t>
      </w:r>
    </w:p>
    <w:tbl>
      <w:tblPr>
        <w:tblStyle w:val="a0"/>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F22599" w14:paraId="5BA9A6BA" w14:textId="77777777">
        <w:tc>
          <w:tcPr>
            <w:tcW w:w="4536" w:type="dxa"/>
            <w:tcBorders>
              <w:top w:val="single" w:sz="8" w:space="0" w:color="0000FF"/>
              <w:left w:val="single" w:sz="8" w:space="0" w:color="0000FF"/>
              <w:bottom w:val="single" w:sz="8" w:space="0" w:color="0000FF"/>
            </w:tcBorders>
            <w:shd w:val="clear" w:color="auto" w:fill="auto"/>
            <w:tcMar>
              <w:top w:w="100" w:type="dxa"/>
              <w:left w:w="100" w:type="dxa"/>
              <w:bottom w:w="100" w:type="dxa"/>
              <w:right w:w="100" w:type="dxa"/>
            </w:tcMar>
          </w:tcPr>
          <w:p w14:paraId="4269FC8B" w14:textId="77777777" w:rsidR="00F22599" w:rsidRDefault="00E3428B">
            <w:pPr>
              <w:widowControl w:val="0"/>
              <w:pBdr>
                <w:top w:val="nil"/>
                <w:left w:val="nil"/>
                <w:bottom w:val="nil"/>
                <w:right w:val="nil"/>
                <w:between w:val="nil"/>
              </w:pBdr>
              <w:spacing w:before="0" w:after="0" w:line="240" w:lineRule="auto"/>
              <w:jc w:val="center"/>
              <w:rPr>
                <w:sz w:val="22"/>
                <w:szCs w:val="22"/>
              </w:rPr>
            </w:pPr>
            <w:r>
              <w:rPr>
                <w:sz w:val="22"/>
                <w:szCs w:val="22"/>
              </w:rPr>
              <w:t xml:space="preserve">Avantages </w:t>
            </w:r>
          </w:p>
        </w:tc>
        <w:tc>
          <w:tcPr>
            <w:tcW w:w="4536" w:type="dxa"/>
            <w:tcBorders>
              <w:top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70A27E6" w14:textId="77777777" w:rsidR="00F22599" w:rsidRDefault="00E3428B">
            <w:pPr>
              <w:widowControl w:val="0"/>
              <w:pBdr>
                <w:top w:val="nil"/>
                <w:left w:val="nil"/>
                <w:bottom w:val="nil"/>
                <w:right w:val="nil"/>
                <w:between w:val="nil"/>
              </w:pBdr>
              <w:spacing w:before="0" w:after="0" w:line="240" w:lineRule="auto"/>
              <w:jc w:val="center"/>
              <w:rPr>
                <w:sz w:val="22"/>
                <w:szCs w:val="22"/>
              </w:rPr>
            </w:pPr>
            <w:r>
              <w:rPr>
                <w:sz w:val="22"/>
                <w:szCs w:val="22"/>
              </w:rPr>
              <w:t>Inconvénients</w:t>
            </w:r>
          </w:p>
        </w:tc>
      </w:tr>
      <w:tr w:rsidR="00F22599" w14:paraId="14579424" w14:textId="77777777">
        <w:tc>
          <w:tcPr>
            <w:tcW w:w="4536" w:type="dxa"/>
            <w:tcBorders>
              <w:top w:val="single" w:sz="8" w:space="0" w:color="0000FF"/>
            </w:tcBorders>
            <w:shd w:val="clear" w:color="auto" w:fill="auto"/>
            <w:tcMar>
              <w:top w:w="100" w:type="dxa"/>
              <w:left w:w="100" w:type="dxa"/>
              <w:bottom w:w="100" w:type="dxa"/>
              <w:right w:w="100" w:type="dxa"/>
            </w:tcMar>
          </w:tcPr>
          <w:p w14:paraId="166E174C" w14:textId="77777777" w:rsidR="00F22599" w:rsidRDefault="00E3428B">
            <w:pPr>
              <w:widowControl w:val="0"/>
              <w:pBdr>
                <w:top w:val="nil"/>
                <w:left w:val="nil"/>
                <w:bottom w:val="nil"/>
                <w:right w:val="nil"/>
                <w:between w:val="nil"/>
              </w:pBdr>
              <w:spacing w:before="0" w:after="0" w:line="240" w:lineRule="auto"/>
              <w:rPr>
                <w:sz w:val="22"/>
                <w:szCs w:val="22"/>
              </w:rPr>
            </w:pPr>
            <w:r>
              <w:rPr>
                <w:sz w:val="22"/>
                <w:szCs w:val="22"/>
              </w:rPr>
              <w:t>Représentation simple et analyse rapide</w:t>
            </w:r>
          </w:p>
        </w:tc>
        <w:tc>
          <w:tcPr>
            <w:tcW w:w="4536" w:type="dxa"/>
            <w:tcBorders>
              <w:top w:val="single" w:sz="8" w:space="0" w:color="0000FF"/>
            </w:tcBorders>
            <w:shd w:val="clear" w:color="auto" w:fill="auto"/>
            <w:tcMar>
              <w:top w:w="100" w:type="dxa"/>
              <w:left w:w="100" w:type="dxa"/>
              <w:bottom w:w="100" w:type="dxa"/>
              <w:right w:w="100" w:type="dxa"/>
            </w:tcMar>
          </w:tcPr>
          <w:p w14:paraId="18807D67" w14:textId="3C741DC9" w:rsidR="00F22599" w:rsidRDefault="00FB2FC4">
            <w:pPr>
              <w:widowControl w:val="0"/>
              <w:pBdr>
                <w:top w:val="nil"/>
                <w:left w:val="nil"/>
                <w:bottom w:val="nil"/>
                <w:right w:val="nil"/>
                <w:between w:val="nil"/>
              </w:pBdr>
              <w:spacing w:before="0" w:after="0" w:line="240" w:lineRule="auto"/>
              <w:rPr>
                <w:sz w:val="22"/>
                <w:szCs w:val="22"/>
              </w:rPr>
            </w:pPr>
            <w:r>
              <w:rPr>
                <w:sz w:val="22"/>
                <w:szCs w:val="22"/>
              </w:rPr>
              <w:t>C</w:t>
            </w:r>
            <w:r w:rsidR="00E3428B">
              <w:rPr>
                <w:sz w:val="22"/>
                <w:szCs w:val="22"/>
              </w:rPr>
              <w:t>omplexe de connaître précisément les séquences étudiées (beaucoup de séquences)</w:t>
            </w:r>
          </w:p>
        </w:tc>
      </w:tr>
    </w:tbl>
    <w:p w14:paraId="7EDAD3A2" w14:textId="77777777" w:rsidR="00F22599" w:rsidRDefault="00E3428B">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bookmarkStart w:id="7" w:name="_heading=h.ccc4jn67nhq4" w:colFirst="0" w:colLast="0"/>
      <w:bookmarkEnd w:id="7"/>
      <w:r>
        <w:rPr>
          <w:smallCaps/>
          <w:color w:val="000000"/>
          <w:sz w:val="22"/>
          <w:szCs w:val="22"/>
        </w:rPr>
        <w:t xml:space="preserve">En savoir plus </w:t>
      </w:r>
      <w:r>
        <w:rPr>
          <w:smallCaps/>
          <w:color w:val="000000"/>
          <w:sz w:val="22"/>
          <w:szCs w:val="22"/>
          <w:vertAlign w:val="superscript"/>
        </w:rPr>
        <w:t>(1)(2)7)</w:t>
      </w:r>
    </w:p>
    <w:p w14:paraId="2BF5F4A6" w14:textId="6BD57A04" w:rsidR="00F22599" w:rsidRDefault="00E3428B">
      <w:pPr>
        <w:ind w:firstLine="708"/>
        <w:jc w:val="both"/>
        <w:rPr>
          <w:sz w:val="22"/>
          <w:szCs w:val="22"/>
        </w:rPr>
      </w:pPr>
      <w:bookmarkStart w:id="8" w:name="_heading=h.eknm5tag77ui" w:colFirst="0" w:colLast="0"/>
      <w:bookmarkEnd w:id="8"/>
      <w:r>
        <w:rPr>
          <w:sz w:val="22"/>
          <w:szCs w:val="22"/>
        </w:rPr>
        <w:t xml:space="preserve">Il existe une troisième méthode utilisée nommée </w:t>
      </w:r>
      <w:r>
        <w:rPr>
          <w:i/>
          <w:sz w:val="22"/>
          <w:szCs w:val="22"/>
        </w:rPr>
        <w:t>séquençage</w:t>
      </w:r>
      <w:r>
        <w:rPr>
          <w:sz w:val="22"/>
          <w:szCs w:val="22"/>
        </w:rPr>
        <w:t xml:space="preserve"> </w:t>
      </w:r>
      <w:r>
        <w:rPr>
          <w:i/>
          <w:sz w:val="22"/>
          <w:szCs w:val="22"/>
        </w:rPr>
        <w:t>systématique d’ADN complémentaire</w:t>
      </w:r>
      <w:r w:rsidR="002F55F6">
        <w:rPr>
          <w:sz w:val="22"/>
          <w:szCs w:val="22"/>
        </w:rPr>
        <w:t xml:space="preserve">, </w:t>
      </w:r>
      <w:r>
        <w:rPr>
          <w:sz w:val="22"/>
          <w:szCs w:val="22"/>
        </w:rPr>
        <w:t>la technique est proche de celle de la PCR quantitative.</w:t>
      </w:r>
    </w:p>
    <w:p w14:paraId="15B75574" w14:textId="77777777" w:rsidR="00F22599" w:rsidRDefault="00E3428B">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9" w:name="_heading=h.cw3xzh4n17it" w:colFirst="0" w:colLast="0"/>
      <w:bookmarkEnd w:id="9"/>
      <w:r>
        <w:rPr>
          <w:smallCaps/>
          <w:color w:val="000000"/>
          <w:sz w:val="22"/>
          <w:szCs w:val="22"/>
        </w:rPr>
        <w:t>Sources</w:t>
      </w:r>
    </w:p>
    <w:p w14:paraId="3556121E" w14:textId="77777777" w:rsidR="00F22599" w:rsidRDefault="00E3428B">
      <w:pPr>
        <w:numPr>
          <w:ilvl w:val="0"/>
          <w:numId w:val="1"/>
        </w:numPr>
        <w:spacing w:after="0"/>
        <w:jc w:val="both"/>
        <w:rPr>
          <w:sz w:val="22"/>
          <w:szCs w:val="22"/>
        </w:rPr>
      </w:pPr>
      <w:hyperlink r:id="rId9" w:anchor=":~:text=La%20transcriptomique%20est%20l'%C3%A9tude,g%C3%A8nes%20dans%20des%20conditions%20donn%C3%A9es">
        <w:r>
          <w:rPr>
            <w:color w:val="1155CC"/>
            <w:sz w:val="22"/>
            <w:szCs w:val="22"/>
            <w:u w:val="single"/>
          </w:rPr>
          <w:t>https://fr.wikipedia.org/wiki/Transcriptomique#:~:text=La%20transcriptomique%20est%20l'%C3%A9tude,g%C3%A8nes%20dans%20des%20conditions%20donn%C3%A9es</w:t>
        </w:r>
      </w:hyperlink>
      <w:r>
        <w:rPr>
          <w:sz w:val="22"/>
          <w:szCs w:val="22"/>
        </w:rPr>
        <w:t>.</w:t>
      </w:r>
    </w:p>
    <w:p w14:paraId="4201CD9C" w14:textId="77777777" w:rsidR="00F22599" w:rsidRDefault="00E3428B">
      <w:pPr>
        <w:numPr>
          <w:ilvl w:val="0"/>
          <w:numId w:val="1"/>
        </w:numPr>
        <w:spacing w:before="0" w:after="0"/>
        <w:jc w:val="both"/>
        <w:rPr>
          <w:sz w:val="22"/>
          <w:szCs w:val="22"/>
        </w:rPr>
      </w:pPr>
      <w:hyperlink r:id="rId10">
        <w:r>
          <w:rPr>
            <w:color w:val="1155CC"/>
            <w:sz w:val="22"/>
            <w:szCs w:val="22"/>
            <w:u w:val="single"/>
          </w:rPr>
          <w:t>https://www.imm.cnrs.fr/transcriptome/spip.php?rubrique11</w:t>
        </w:r>
      </w:hyperlink>
    </w:p>
    <w:p w14:paraId="5A39A2CD" w14:textId="77777777" w:rsidR="00F22599" w:rsidRDefault="00E3428B">
      <w:pPr>
        <w:numPr>
          <w:ilvl w:val="0"/>
          <w:numId w:val="1"/>
        </w:numPr>
        <w:spacing w:before="0" w:after="0"/>
        <w:jc w:val="both"/>
        <w:rPr>
          <w:sz w:val="22"/>
          <w:szCs w:val="22"/>
        </w:rPr>
      </w:pPr>
      <w:hyperlink r:id="rId11">
        <w:r>
          <w:rPr>
            <w:color w:val="1155CC"/>
            <w:sz w:val="22"/>
            <w:szCs w:val="22"/>
            <w:u w:val="single"/>
          </w:rPr>
          <w:t>https://fr.wikipedia.org/wiki/Puce_%C3%A0_ADN</w:t>
        </w:r>
      </w:hyperlink>
    </w:p>
    <w:p w14:paraId="70277719" w14:textId="77777777" w:rsidR="00F22599" w:rsidRDefault="00E3428B">
      <w:pPr>
        <w:numPr>
          <w:ilvl w:val="0"/>
          <w:numId w:val="1"/>
        </w:numPr>
        <w:spacing w:before="0" w:after="0"/>
        <w:jc w:val="both"/>
        <w:rPr>
          <w:sz w:val="22"/>
          <w:szCs w:val="22"/>
        </w:rPr>
      </w:pPr>
      <w:hyperlink r:id="rId12">
        <w:r>
          <w:rPr>
            <w:color w:val="1155CC"/>
            <w:sz w:val="22"/>
            <w:szCs w:val="22"/>
            <w:u w:val="single"/>
          </w:rPr>
          <w:t>http://biochimej.univ-angers.fr/Page2/COURS/9ModulGenFoncVeg/5MethEtudGenFonc/3PucesADN/1PucesADN.htm</w:t>
        </w:r>
      </w:hyperlink>
    </w:p>
    <w:p w14:paraId="3510F81D" w14:textId="77777777" w:rsidR="00F22599" w:rsidRDefault="00E3428B">
      <w:pPr>
        <w:numPr>
          <w:ilvl w:val="0"/>
          <w:numId w:val="1"/>
        </w:numPr>
        <w:spacing w:before="0" w:after="0"/>
        <w:jc w:val="both"/>
        <w:rPr>
          <w:sz w:val="22"/>
          <w:szCs w:val="22"/>
        </w:rPr>
      </w:pPr>
      <w:hyperlink r:id="rId13">
        <w:r>
          <w:rPr>
            <w:color w:val="1155CC"/>
            <w:sz w:val="22"/>
            <w:szCs w:val="22"/>
            <w:u w:val="single"/>
          </w:rPr>
          <w:t>https://fr.wikipedia.org/wiki/PC</w:t>
        </w:r>
        <w:r>
          <w:rPr>
            <w:color w:val="1155CC"/>
            <w:sz w:val="22"/>
            <w:szCs w:val="22"/>
            <w:u w:val="single"/>
          </w:rPr>
          <w:t>R_quantitative</w:t>
        </w:r>
      </w:hyperlink>
    </w:p>
    <w:p w14:paraId="670B3817" w14:textId="77777777" w:rsidR="00F22599" w:rsidRDefault="00E3428B">
      <w:pPr>
        <w:numPr>
          <w:ilvl w:val="0"/>
          <w:numId w:val="1"/>
        </w:numPr>
        <w:spacing w:before="0" w:after="0"/>
        <w:jc w:val="both"/>
        <w:rPr>
          <w:sz w:val="22"/>
          <w:szCs w:val="22"/>
        </w:rPr>
      </w:pPr>
      <w:hyperlink r:id="rId14">
        <w:r>
          <w:rPr>
            <w:color w:val="1155CC"/>
            <w:sz w:val="22"/>
            <w:szCs w:val="22"/>
            <w:u w:val="single"/>
          </w:rPr>
          <w:t>http://biochimej.univ-angers.fr/Page2/COURS/9ModulGenFoncVeg/5MethEtudGenFonc/4EST/1EST.htm</w:t>
        </w:r>
      </w:hyperlink>
    </w:p>
    <w:p w14:paraId="3473B61A" w14:textId="77777777" w:rsidR="00F22599" w:rsidRDefault="00E3428B">
      <w:pPr>
        <w:numPr>
          <w:ilvl w:val="0"/>
          <w:numId w:val="1"/>
        </w:numPr>
        <w:spacing w:before="0"/>
        <w:jc w:val="both"/>
        <w:rPr>
          <w:sz w:val="22"/>
          <w:szCs w:val="22"/>
        </w:rPr>
      </w:pPr>
      <w:hyperlink r:id="rId15">
        <w:r>
          <w:rPr>
            <w:color w:val="1155CC"/>
            <w:sz w:val="22"/>
            <w:szCs w:val="22"/>
            <w:u w:val="single"/>
          </w:rPr>
          <w:t>http://genetique.snv.jussieu.fr/doc2012/QPCR%20FPepigenetique_juin2012.pdf</w:t>
        </w:r>
      </w:hyperlink>
    </w:p>
    <w:p w14:paraId="561DE4ED" w14:textId="77777777" w:rsidR="00F22599" w:rsidRDefault="00F22599">
      <w:pPr>
        <w:ind w:left="720"/>
        <w:jc w:val="both"/>
        <w:rPr>
          <w:sz w:val="22"/>
          <w:szCs w:val="22"/>
        </w:rPr>
      </w:pPr>
    </w:p>
    <w:bookmarkEnd w:id="0"/>
    <w:p w14:paraId="53E43E00" w14:textId="77777777" w:rsidR="00F22599" w:rsidRDefault="00F22599"/>
    <w:sectPr w:rsidR="00F22599">
      <w:headerReference w:type="default" r:id="rId16"/>
      <w:footerReference w:type="default" r:id="rId1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39126" w14:textId="77777777" w:rsidR="00E3428B" w:rsidRDefault="00E3428B">
      <w:pPr>
        <w:spacing w:before="0" w:after="0" w:line="240" w:lineRule="auto"/>
      </w:pPr>
      <w:r>
        <w:separator/>
      </w:r>
    </w:p>
  </w:endnote>
  <w:endnote w:type="continuationSeparator" w:id="0">
    <w:p w14:paraId="4A8D20C5" w14:textId="77777777" w:rsidR="00E3428B" w:rsidRDefault="00E342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A692" w14:textId="77777777" w:rsidR="00F22599" w:rsidRDefault="00E3428B">
    <w:pPr>
      <w:pBdr>
        <w:top w:val="nil"/>
        <w:left w:val="nil"/>
        <w:bottom w:val="nil"/>
        <w:right w:val="nil"/>
        <w:between w:val="nil"/>
      </w:pBdr>
      <w:tabs>
        <w:tab w:val="center" w:pos="4536"/>
        <w:tab w:val="right" w:pos="9072"/>
      </w:tabs>
      <w:spacing w:before="0" w:after="0" w:line="240" w:lineRule="auto"/>
      <w:jc w:val="right"/>
      <w:rPr>
        <w:color w:val="000000"/>
      </w:rPr>
    </w:pPr>
    <w:r>
      <w:fldChar w:fldCharType="begin"/>
    </w:r>
    <w:r>
      <w:instrText>PAGE</w:instrText>
    </w:r>
    <w:r w:rsidR="00FB2FC4">
      <w:fldChar w:fldCharType="separate"/>
    </w:r>
    <w:r w:rsidR="00FB2F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3F257" w14:textId="77777777" w:rsidR="00E3428B" w:rsidRDefault="00E3428B">
      <w:pPr>
        <w:spacing w:before="0" w:after="0" w:line="240" w:lineRule="auto"/>
      </w:pPr>
      <w:r>
        <w:separator/>
      </w:r>
    </w:p>
  </w:footnote>
  <w:footnote w:type="continuationSeparator" w:id="0">
    <w:p w14:paraId="200A5BD6" w14:textId="77777777" w:rsidR="00E3428B" w:rsidRDefault="00E342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E03D" w14:textId="77777777" w:rsidR="00081264" w:rsidRDefault="00E3428B">
    <w:pPr>
      <w:pBdr>
        <w:top w:val="nil"/>
        <w:left w:val="nil"/>
        <w:bottom w:val="nil"/>
        <w:right w:val="nil"/>
        <w:between w:val="nil"/>
      </w:pBdr>
      <w:tabs>
        <w:tab w:val="center" w:pos="4536"/>
        <w:tab w:val="right" w:pos="9072"/>
      </w:tabs>
      <w:spacing w:before="0" w:after="0" w:line="240" w:lineRule="auto"/>
      <w:jc w:val="right"/>
      <w:rPr>
        <w:rFonts w:ascii="Arial" w:eastAsia="Arial" w:hAnsi="Arial" w:cs="Arial"/>
      </w:rPr>
    </w:pPr>
    <w:r>
      <w:rPr>
        <w:rFonts w:ascii="Arial" w:eastAsia="Arial" w:hAnsi="Arial" w:cs="Arial"/>
      </w:rPr>
      <w:t>Rodrigue Blanc-Noury</w:t>
    </w:r>
  </w:p>
  <w:p w14:paraId="67981ACF" w14:textId="0572C61F" w:rsidR="00F22599" w:rsidRDefault="00E3428B">
    <w:pPr>
      <w:pBdr>
        <w:top w:val="nil"/>
        <w:left w:val="nil"/>
        <w:bottom w:val="nil"/>
        <w:right w:val="nil"/>
        <w:between w:val="nil"/>
      </w:pBdr>
      <w:tabs>
        <w:tab w:val="center" w:pos="4536"/>
        <w:tab w:val="right" w:pos="9072"/>
      </w:tabs>
      <w:spacing w:before="0" w:after="0" w:line="240" w:lineRule="auto"/>
      <w:jc w:val="right"/>
      <w:rPr>
        <w:rFonts w:ascii="Arial" w:eastAsia="Arial" w:hAnsi="Arial" w:cs="Arial"/>
        <w:color w:val="000000"/>
      </w:rPr>
    </w:pPr>
    <w:r>
      <w:rPr>
        <w:noProof/>
      </w:rPr>
      <w:drawing>
        <wp:anchor distT="0" distB="0" distL="114300" distR="114300" simplePos="0" relativeHeight="251658240" behindDoc="0" locked="0" layoutInCell="1" hidden="0" allowOverlap="1" wp14:anchorId="3BD515E6" wp14:editId="78B5F7EF">
          <wp:simplePos x="0" y="0"/>
          <wp:positionH relativeFrom="column">
            <wp:posOffset>-665707</wp:posOffset>
          </wp:positionH>
          <wp:positionV relativeFrom="paragraph">
            <wp:posOffset>-310589</wp:posOffset>
          </wp:positionV>
          <wp:extent cx="661820" cy="661820"/>
          <wp:effectExtent l="0" t="0" r="0" b="0"/>
          <wp:wrapNone/>
          <wp:docPr id="12" name="image5.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pièce, dessin&#10;&#10;Description générée automatiquement"/>
                  <pic:cNvPicPr preferRelativeResize="0"/>
                </pic:nvPicPr>
                <pic:blipFill>
                  <a:blip r:embed="rId1"/>
                  <a:srcRect/>
                  <a:stretch>
                    <a:fillRect/>
                  </a:stretch>
                </pic:blipFill>
                <pic:spPr>
                  <a:xfrm>
                    <a:off x="0" y="0"/>
                    <a:ext cx="661820" cy="661820"/>
                  </a:xfrm>
                  <a:prstGeom prst="rect">
                    <a:avLst/>
                  </a:prstGeom>
                  <a:ln/>
                </pic:spPr>
              </pic:pic>
            </a:graphicData>
          </a:graphic>
        </wp:anchor>
      </w:drawing>
    </w:r>
    <w:r w:rsidR="00081264">
      <w:rPr>
        <w:rFonts w:ascii="Arial" w:eastAsia="Arial" w:hAnsi="Arial" w:cs="Arial"/>
      </w:rPr>
      <w:t>Chloé Truong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652A0"/>
    <w:multiLevelType w:val="multilevel"/>
    <w:tmpl w:val="FCF01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99"/>
    <w:rsid w:val="00081264"/>
    <w:rsid w:val="002F55F6"/>
    <w:rsid w:val="00A0195A"/>
    <w:rsid w:val="00A10A90"/>
    <w:rsid w:val="00C55059"/>
    <w:rsid w:val="00E3428B"/>
    <w:rsid w:val="00F22599"/>
    <w:rsid w:val="00FB2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C602"/>
  <w15:docId w15:val="{067ED553-C086-4E8E-B96B-50B8EAB9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fr-FR" w:eastAsia="fr-F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5F"/>
  </w:style>
  <w:style w:type="paragraph" w:styleId="Titre1">
    <w:name w:val="heading 1"/>
    <w:basedOn w:val="Normal"/>
    <w:next w:val="Normal"/>
    <w:link w:val="Titre1Car"/>
    <w:uiPriority w:val="9"/>
    <w:qFormat/>
    <w:rsid w:val="006E205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6E205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6E205F"/>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6E205F"/>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6E205F"/>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6E205F"/>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6E205F"/>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6E205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6E205F"/>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E205F"/>
    <w:pPr>
      <w:spacing w:before="0" w:after="0"/>
    </w:pPr>
    <w:rPr>
      <w:rFonts w:asciiTheme="majorHAnsi" w:eastAsiaTheme="majorEastAsia" w:hAnsiTheme="majorHAnsi" w:cstheme="majorBidi"/>
      <w:caps/>
      <w:color w:val="4472C4"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6E205F"/>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6E205F"/>
    <w:rPr>
      <w:caps/>
      <w:spacing w:val="15"/>
      <w:shd w:val="clear" w:color="auto" w:fill="D9E2F3" w:themeFill="accent1" w:themeFillTint="33"/>
    </w:rPr>
  </w:style>
  <w:style w:type="character" w:customStyle="1" w:styleId="Titre3Car">
    <w:name w:val="Titre 3 Car"/>
    <w:basedOn w:val="Policepardfaut"/>
    <w:link w:val="Titre3"/>
    <w:uiPriority w:val="9"/>
    <w:semiHidden/>
    <w:rsid w:val="006E205F"/>
    <w:rPr>
      <w:caps/>
      <w:color w:val="1F3763" w:themeColor="accent1" w:themeShade="7F"/>
      <w:spacing w:val="15"/>
    </w:rPr>
  </w:style>
  <w:style w:type="character" w:customStyle="1" w:styleId="Titre4Car">
    <w:name w:val="Titre 4 Car"/>
    <w:basedOn w:val="Policepardfaut"/>
    <w:link w:val="Titre4"/>
    <w:uiPriority w:val="9"/>
    <w:semiHidden/>
    <w:rsid w:val="006E205F"/>
    <w:rPr>
      <w:caps/>
      <w:color w:val="2F5496" w:themeColor="accent1" w:themeShade="BF"/>
      <w:spacing w:val="10"/>
    </w:rPr>
  </w:style>
  <w:style w:type="character" w:customStyle="1" w:styleId="Titre5Car">
    <w:name w:val="Titre 5 Car"/>
    <w:basedOn w:val="Policepardfaut"/>
    <w:link w:val="Titre5"/>
    <w:uiPriority w:val="9"/>
    <w:semiHidden/>
    <w:rsid w:val="006E205F"/>
    <w:rPr>
      <w:caps/>
      <w:color w:val="2F5496" w:themeColor="accent1" w:themeShade="BF"/>
      <w:spacing w:val="10"/>
    </w:rPr>
  </w:style>
  <w:style w:type="character" w:customStyle="1" w:styleId="Titre6Car">
    <w:name w:val="Titre 6 Car"/>
    <w:basedOn w:val="Policepardfaut"/>
    <w:link w:val="Titre6"/>
    <w:uiPriority w:val="9"/>
    <w:semiHidden/>
    <w:rsid w:val="006E205F"/>
    <w:rPr>
      <w:caps/>
      <w:color w:val="2F5496" w:themeColor="accent1" w:themeShade="BF"/>
      <w:spacing w:val="10"/>
    </w:rPr>
  </w:style>
  <w:style w:type="character" w:customStyle="1" w:styleId="Titre7Car">
    <w:name w:val="Titre 7 Car"/>
    <w:basedOn w:val="Policepardfaut"/>
    <w:link w:val="Titre7"/>
    <w:uiPriority w:val="9"/>
    <w:semiHidden/>
    <w:rsid w:val="006E205F"/>
    <w:rPr>
      <w:caps/>
      <w:color w:val="2F5496" w:themeColor="accent1" w:themeShade="BF"/>
      <w:spacing w:val="10"/>
    </w:rPr>
  </w:style>
  <w:style w:type="character" w:customStyle="1" w:styleId="Titre8Car">
    <w:name w:val="Titre 8 Car"/>
    <w:basedOn w:val="Policepardfaut"/>
    <w:link w:val="Titre8"/>
    <w:uiPriority w:val="9"/>
    <w:semiHidden/>
    <w:rsid w:val="006E205F"/>
    <w:rPr>
      <w:caps/>
      <w:spacing w:val="10"/>
      <w:sz w:val="18"/>
      <w:szCs w:val="18"/>
    </w:rPr>
  </w:style>
  <w:style w:type="character" w:customStyle="1" w:styleId="Titre9Car">
    <w:name w:val="Titre 9 Car"/>
    <w:basedOn w:val="Policepardfaut"/>
    <w:link w:val="Titre9"/>
    <w:uiPriority w:val="9"/>
    <w:semiHidden/>
    <w:rsid w:val="006E205F"/>
    <w:rPr>
      <w:i/>
      <w:iCs/>
      <w:caps/>
      <w:spacing w:val="10"/>
      <w:sz w:val="18"/>
      <w:szCs w:val="18"/>
    </w:rPr>
  </w:style>
  <w:style w:type="paragraph" w:styleId="Lgende">
    <w:name w:val="caption"/>
    <w:basedOn w:val="Normal"/>
    <w:next w:val="Normal"/>
    <w:uiPriority w:val="35"/>
    <w:semiHidden/>
    <w:unhideWhenUsed/>
    <w:qFormat/>
    <w:rsid w:val="006E205F"/>
    <w:rPr>
      <w:b/>
      <w:bCs/>
      <w:color w:val="2F5496" w:themeColor="accent1" w:themeShade="BF"/>
      <w:sz w:val="16"/>
      <w:szCs w:val="16"/>
    </w:rPr>
  </w:style>
  <w:style w:type="character" w:customStyle="1" w:styleId="TitreCar">
    <w:name w:val="Titre Car"/>
    <w:basedOn w:val="Policepardfaut"/>
    <w:link w:val="Titre"/>
    <w:uiPriority w:val="10"/>
    <w:rsid w:val="006E205F"/>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pPr>
      <w:spacing w:before="0" w:after="500" w:line="240" w:lineRule="auto"/>
    </w:pPr>
    <w:rPr>
      <w:smallCaps/>
      <w:color w:val="595959"/>
      <w:sz w:val="21"/>
      <w:szCs w:val="21"/>
    </w:rPr>
  </w:style>
  <w:style w:type="character" w:customStyle="1" w:styleId="Sous-titreCar">
    <w:name w:val="Sous-titre Car"/>
    <w:basedOn w:val="Policepardfaut"/>
    <w:link w:val="Sous-titre"/>
    <w:uiPriority w:val="11"/>
    <w:rsid w:val="006E205F"/>
    <w:rPr>
      <w:caps/>
      <w:color w:val="595959" w:themeColor="text1" w:themeTint="A6"/>
      <w:spacing w:val="10"/>
      <w:sz w:val="21"/>
      <w:szCs w:val="21"/>
    </w:rPr>
  </w:style>
  <w:style w:type="character" w:styleId="lev">
    <w:name w:val="Strong"/>
    <w:uiPriority w:val="22"/>
    <w:qFormat/>
    <w:rsid w:val="006E205F"/>
    <w:rPr>
      <w:b/>
      <w:bCs/>
    </w:rPr>
  </w:style>
  <w:style w:type="character" w:styleId="Accentuation">
    <w:name w:val="Emphasis"/>
    <w:uiPriority w:val="20"/>
    <w:qFormat/>
    <w:rsid w:val="006E205F"/>
    <w:rPr>
      <w:caps/>
      <w:color w:val="1F3763" w:themeColor="accent1" w:themeShade="7F"/>
      <w:spacing w:val="5"/>
    </w:rPr>
  </w:style>
  <w:style w:type="paragraph" w:styleId="Sansinterligne">
    <w:name w:val="No Spacing"/>
    <w:uiPriority w:val="1"/>
    <w:qFormat/>
    <w:rsid w:val="006E205F"/>
    <w:pPr>
      <w:spacing w:after="0" w:line="240" w:lineRule="auto"/>
    </w:pPr>
  </w:style>
  <w:style w:type="paragraph" w:styleId="Citation">
    <w:name w:val="Quote"/>
    <w:basedOn w:val="Normal"/>
    <w:next w:val="Normal"/>
    <w:link w:val="CitationCar"/>
    <w:uiPriority w:val="29"/>
    <w:qFormat/>
    <w:rsid w:val="006E205F"/>
    <w:rPr>
      <w:i/>
      <w:iCs/>
      <w:sz w:val="24"/>
      <w:szCs w:val="24"/>
    </w:rPr>
  </w:style>
  <w:style w:type="character" w:customStyle="1" w:styleId="CitationCar">
    <w:name w:val="Citation Car"/>
    <w:basedOn w:val="Policepardfaut"/>
    <w:link w:val="Citation"/>
    <w:uiPriority w:val="29"/>
    <w:rsid w:val="006E205F"/>
    <w:rPr>
      <w:i/>
      <w:iCs/>
      <w:sz w:val="24"/>
      <w:szCs w:val="24"/>
    </w:rPr>
  </w:style>
  <w:style w:type="paragraph" w:styleId="Citationintense">
    <w:name w:val="Intense Quote"/>
    <w:basedOn w:val="Normal"/>
    <w:next w:val="Normal"/>
    <w:link w:val="CitationintenseCar"/>
    <w:uiPriority w:val="30"/>
    <w:qFormat/>
    <w:rsid w:val="006E205F"/>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6E205F"/>
    <w:rPr>
      <w:color w:val="4472C4" w:themeColor="accent1"/>
      <w:sz w:val="24"/>
      <w:szCs w:val="24"/>
    </w:rPr>
  </w:style>
  <w:style w:type="character" w:styleId="Accentuationlgre">
    <w:name w:val="Subtle Emphasis"/>
    <w:uiPriority w:val="19"/>
    <w:qFormat/>
    <w:rsid w:val="006E205F"/>
    <w:rPr>
      <w:i/>
      <w:iCs/>
      <w:color w:val="1F3763" w:themeColor="accent1" w:themeShade="7F"/>
    </w:rPr>
  </w:style>
  <w:style w:type="character" w:styleId="Accentuationintense">
    <w:name w:val="Intense Emphasis"/>
    <w:uiPriority w:val="21"/>
    <w:qFormat/>
    <w:rsid w:val="006E205F"/>
    <w:rPr>
      <w:b/>
      <w:bCs/>
      <w:caps/>
      <w:color w:val="1F3763" w:themeColor="accent1" w:themeShade="7F"/>
      <w:spacing w:val="10"/>
    </w:rPr>
  </w:style>
  <w:style w:type="character" w:styleId="Rfrencelgre">
    <w:name w:val="Subtle Reference"/>
    <w:uiPriority w:val="31"/>
    <w:qFormat/>
    <w:rsid w:val="006E205F"/>
    <w:rPr>
      <w:b/>
      <w:bCs/>
      <w:color w:val="4472C4" w:themeColor="accent1"/>
    </w:rPr>
  </w:style>
  <w:style w:type="character" w:styleId="Rfrenceintense">
    <w:name w:val="Intense Reference"/>
    <w:uiPriority w:val="32"/>
    <w:qFormat/>
    <w:rsid w:val="006E205F"/>
    <w:rPr>
      <w:b/>
      <w:bCs/>
      <w:i/>
      <w:iCs/>
      <w:caps/>
      <w:color w:val="4472C4" w:themeColor="accent1"/>
    </w:rPr>
  </w:style>
  <w:style w:type="character" w:styleId="Titredulivre">
    <w:name w:val="Book Title"/>
    <w:uiPriority w:val="33"/>
    <w:qFormat/>
    <w:rsid w:val="006E205F"/>
    <w:rPr>
      <w:b/>
      <w:bCs/>
      <w:i/>
      <w:iCs/>
      <w:spacing w:val="0"/>
    </w:rPr>
  </w:style>
  <w:style w:type="paragraph" w:styleId="En-ttedetabledesmatires">
    <w:name w:val="TOC Heading"/>
    <w:basedOn w:val="Titre1"/>
    <w:next w:val="Normal"/>
    <w:uiPriority w:val="39"/>
    <w:semiHidden/>
    <w:unhideWhenUsed/>
    <w:qFormat/>
    <w:rsid w:val="006E205F"/>
    <w:pPr>
      <w:outlineLvl w:val="9"/>
    </w:pPr>
  </w:style>
  <w:style w:type="paragraph" w:styleId="En-tte">
    <w:name w:val="header"/>
    <w:basedOn w:val="Normal"/>
    <w:link w:val="En-tteCar"/>
    <w:uiPriority w:val="99"/>
    <w:unhideWhenUsed/>
    <w:rsid w:val="006E205F"/>
    <w:pPr>
      <w:tabs>
        <w:tab w:val="center" w:pos="4536"/>
        <w:tab w:val="right" w:pos="9072"/>
      </w:tabs>
      <w:spacing w:before="0" w:after="0" w:line="240" w:lineRule="auto"/>
    </w:pPr>
  </w:style>
  <w:style w:type="character" w:customStyle="1" w:styleId="En-tteCar">
    <w:name w:val="En-tête Car"/>
    <w:basedOn w:val="Policepardfaut"/>
    <w:link w:val="En-tte"/>
    <w:uiPriority w:val="99"/>
    <w:rsid w:val="006E205F"/>
  </w:style>
  <w:style w:type="paragraph" w:styleId="Pieddepage">
    <w:name w:val="footer"/>
    <w:basedOn w:val="Normal"/>
    <w:link w:val="PieddepageCar"/>
    <w:uiPriority w:val="99"/>
    <w:unhideWhenUsed/>
    <w:rsid w:val="006E205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E205F"/>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PCR_quantitat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ochimej.univ-angers.fr/Page2/COURS/9ModulGenFoncVeg/5MethEtudGenFonc/3PucesADN/1PucesAD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uce_%C3%A0_ADN" TargetMode="External"/><Relationship Id="rId5" Type="http://schemas.openxmlformats.org/officeDocument/2006/relationships/webSettings" Target="webSettings.xml"/><Relationship Id="rId15" Type="http://schemas.openxmlformats.org/officeDocument/2006/relationships/hyperlink" Target="http://genetique.snv.jussieu.fr/doc2012/QPCR%20FPepigenetique_juin2012.pdf" TargetMode="External"/><Relationship Id="rId10" Type="http://schemas.openxmlformats.org/officeDocument/2006/relationships/hyperlink" Target="https://www.imm.cnrs.fr/transcriptome/spip.php?rubrique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Transcriptomique" TargetMode="External"/><Relationship Id="rId14" Type="http://schemas.openxmlformats.org/officeDocument/2006/relationships/hyperlink" Target="http://biochimej.univ-angers.fr/Page2/COURS/9ModulGenFoncVeg/5MethEtudGenFonc/4EST/1ES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JGv5PtnPS9jQAYQ4RwSobIYZw==">AMUW2mWml6c+X1BiVQoIvhvXl9Rqb6zGFxezhEBPIm7jKfIIsYXSxX4P7dgUzLglWJzJaU0Nx5m4jFoUkuYccLrjgxkjXWRT4PhSdxsVtiHoD5cgoGFNQBHxRCAE8CW7wpHaEMD16Js0tAbsVGBrWc5qU6rt2NmhO+uj/Ul9FBk5iMViIYGHbmIW3pFDzJrrJfNgiUoZjm6YVWPO/me1dZ/2CHXM0xzAvqwrStxY3zUpLoPXCuOopmtwrGhXo62OPTmT1WO6EJrCbEfqoRfrqxkJUFrqjZCpzIYKcWowUF4SYL2S4wAfB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8705</TotalTime>
  <Pages>2</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 Blanc-Noury</dc:creator>
  <cp:lastModifiedBy>Chloe Truong</cp:lastModifiedBy>
  <cp:revision>2</cp:revision>
  <dcterms:created xsi:type="dcterms:W3CDTF">2020-09-05T07:40:00Z</dcterms:created>
  <dcterms:modified xsi:type="dcterms:W3CDTF">2021-10-05T19:51:00Z</dcterms:modified>
</cp:coreProperties>
</file>