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60E29" w14:textId="0A96151D" w:rsidR="00407A2F" w:rsidRDefault="005C46FB" w:rsidP="00407A2F">
      <w:pPr>
        <w:pBdr>
          <w:top w:val="nil"/>
          <w:left w:val="nil"/>
          <w:bottom w:val="nil"/>
          <w:right w:val="nil"/>
          <w:between w:val="nil"/>
        </w:pBdr>
        <w:spacing w:before="0" w:after="0"/>
        <w:rPr>
          <w:rFonts w:ascii="Arial" w:eastAsia="Arial" w:hAnsi="Arial" w:cs="Arial"/>
          <w:smallCaps/>
          <w:color w:val="4472C4"/>
          <w:sz w:val="52"/>
          <w:szCs w:val="52"/>
        </w:rPr>
      </w:pPr>
      <w:bookmarkStart w:id="0" w:name="_Hlk83807749"/>
      <w:r>
        <w:rPr>
          <w:rFonts w:ascii="Arial" w:eastAsia="Arial" w:hAnsi="Arial" w:cs="Arial"/>
          <w:smallCaps/>
          <w:color w:val="4472C4"/>
          <w:sz w:val="52"/>
          <w:szCs w:val="52"/>
        </w:rPr>
        <w:t xml:space="preserve">PROTEOMIQUE </w:t>
      </w:r>
    </w:p>
    <w:p w14:paraId="3BFA1A47" w14:textId="77777777" w:rsidR="00407A2F" w:rsidRDefault="00407A2F" w:rsidP="00407A2F">
      <w:pPr>
        <w:pBdr>
          <w:top w:val="single" w:sz="24" w:space="0" w:color="4472C4"/>
          <w:left w:val="single" w:sz="24" w:space="0" w:color="4472C4"/>
          <w:bottom w:val="single" w:sz="24" w:space="0" w:color="4472C4"/>
          <w:right w:val="single" w:sz="24" w:space="0" w:color="4472C4"/>
          <w:between w:val="nil"/>
        </w:pBdr>
        <w:shd w:val="clear" w:color="auto" w:fill="4472C4"/>
        <w:spacing w:after="0"/>
        <w:rPr>
          <w:smallCaps/>
          <w:color w:val="FFFFFF"/>
          <w:sz w:val="24"/>
          <w:szCs w:val="24"/>
        </w:rPr>
      </w:pPr>
      <w:r>
        <w:rPr>
          <w:smallCaps/>
          <w:color w:val="FFFFFF"/>
          <w:sz w:val="24"/>
          <w:szCs w:val="24"/>
        </w:rPr>
        <w:t>Sciences en tête biologie-année 2021-2022</w:t>
      </w:r>
    </w:p>
    <w:p w14:paraId="04CEF867" w14:textId="0F855796" w:rsidR="00407A2F" w:rsidRPr="005C46FB" w:rsidRDefault="005C46FB" w:rsidP="00407A2F">
      <w:pPr>
        <w:ind w:firstLine="708"/>
        <w:jc w:val="both"/>
        <w:rPr>
          <w:sz w:val="22"/>
          <w:szCs w:val="22"/>
        </w:rPr>
      </w:pPr>
      <w:r w:rsidRPr="005C46FB">
        <w:rPr>
          <w:sz w:val="22"/>
          <w:szCs w:val="22"/>
        </w:rPr>
        <w:t xml:space="preserve">Le génome étant l’ensemble des gènes d’un organisme ; le protéome est l’ensemble des protéines exprimées dans une cellule, un tissu ou un organisme à un temps donné. La protéomique correspond donc à l’étude de ce protéome à un temps donné et dans </w:t>
      </w:r>
      <w:proofErr w:type="gramStart"/>
      <w:r w:rsidRPr="005C46FB">
        <w:rPr>
          <w:sz w:val="22"/>
          <w:szCs w:val="22"/>
        </w:rPr>
        <w:t>des conditions donnés</w:t>
      </w:r>
      <w:proofErr w:type="gramEnd"/>
      <w:r w:rsidRPr="005C46FB">
        <w:rPr>
          <w:sz w:val="22"/>
          <w:szCs w:val="22"/>
        </w:rPr>
        <w:t>. Dans le but de réaliser une caractérisation complète, il est possible d’identifier les protéines et leurs modifications post-traductionnelles. Selon la propriété des protéines étudiées, on en distingue deux types : la protéomique d’expression et la protéomique d’interactions.</w:t>
      </w:r>
    </w:p>
    <w:p w14:paraId="131C3C65" w14:textId="07D112C1" w:rsidR="00407A2F" w:rsidRDefault="00407A2F" w:rsidP="00407A2F">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4"/>
          <w:szCs w:val="24"/>
        </w:rPr>
      </w:pPr>
      <w:r>
        <w:rPr>
          <w:smallCaps/>
          <w:color w:val="000000"/>
          <w:sz w:val="24"/>
          <w:szCs w:val="24"/>
        </w:rPr>
        <w:t xml:space="preserve">1. </w:t>
      </w:r>
      <w:r w:rsidR="005C46FB">
        <w:t>PROTÉOMIQUE D’EXPRESSION</w:t>
      </w:r>
    </w:p>
    <w:p w14:paraId="6C08DC17" w14:textId="77777777" w:rsidR="005C46FB" w:rsidRDefault="005C46FB" w:rsidP="005C46FB">
      <w:pPr>
        <w:ind w:firstLine="708"/>
        <w:jc w:val="both"/>
        <w:rPr>
          <w:sz w:val="22"/>
          <w:szCs w:val="22"/>
        </w:rPr>
      </w:pPr>
      <w:r w:rsidRPr="005C46FB">
        <w:rPr>
          <w:sz w:val="22"/>
          <w:szCs w:val="22"/>
        </w:rPr>
        <w:t xml:space="preserve">La protéomique d’expression couple l’électrophorèse bidimensionnelle avec la spectrométrie de masse ou avec la chromatographie </w:t>
      </w:r>
      <w:r w:rsidRPr="005C46FB">
        <w:rPr>
          <w:i/>
          <w:iCs/>
          <w:sz w:val="22"/>
          <w:szCs w:val="22"/>
        </w:rPr>
        <w:t>(cf. fiche électrophorèse 2D).</w:t>
      </w:r>
      <w:r w:rsidRPr="005C46FB">
        <w:rPr>
          <w:sz w:val="22"/>
          <w:szCs w:val="22"/>
        </w:rPr>
        <w:t xml:space="preserve"> </w:t>
      </w:r>
    </w:p>
    <w:p w14:paraId="2E4269FF" w14:textId="14333217" w:rsidR="00407A2F" w:rsidRDefault="005C46FB" w:rsidP="005C46FB">
      <w:pPr>
        <w:ind w:firstLine="708"/>
        <w:jc w:val="both"/>
        <w:rPr>
          <w:sz w:val="22"/>
          <w:szCs w:val="22"/>
        </w:rPr>
      </w:pPr>
      <w:r>
        <w:rPr>
          <w:noProof/>
        </w:rPr>
        <w:drawing>
          <wp:anchor distT="0" distB="0" distL="114300" distR="114300" simplePos="0" relativeHeight="251658240" behindDoc="0" locked="0" layoutInCell="1" allowOverlap="1" wp14:anchorId="11927405" wp14:editId="4A828309">
            <wp:simplePos x="0" y="0"/>
            <wp:positionH relativeFrom="margin">
              <wp:align>center</wp:align>
            </wp:positionH>
            <wp:positionV relativeFrom="paragraph">
              <wp:posOffset>1045845</wp:posOffset>
            </wp:positionV>
            <wp:extent cx="2887980" cy="1943100"/>
            <wp:effectExtent l="0" t="0" r="762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7980" cy="1943100"/>
                    </a:xfrm>
                    <a:prstGeom prst="rect">
                      <a:avLst/>
                    </a:prstGeom>
                  </pic:spPr>
                </pic:pic>
              </a:graphicData>
            </a:graphic>
            <wp14:sizeRelH relativeFrom="margin">
              <wp14:pctWidth>0</wp14:pctWidth>
            </wp14:sizeRelH>
            <wp14:sizeRelV relativeFrom="margin">
              <wp14:pctHeight>0</wp14:pctHeight>
            </wp14:sizeRelV>
          </wp:anchor>
        </w:drawing>
      </w:r>
      <w:r w:rsidRPr="005C46FB">
        <w:rPr>
          <w:sz w:val="22"/>
          <w:szCs w:val="22"/>
        </w:rPr>
        <w:t>Ce premier type permet d’identifier les gènes exprimés dans une condition donnée et d’estimer quantitativement les concentrations de chaque protéine (méthode de marqueurs d'affinité contenant un isotope d'identification). Cependant, la présence d’une protéine ne signifie pas forcément l’expression d’un gène. Il est également possible de prendre en compte la nature et la localisation de certaines modifications post-traductionnelles.</w:t>
      </w:r>
    </w:p>
    <w:p w14:paraId="44E92E95" w14:textId="732A53A5" w:rsidR="00407A2F" w:rsidRDefault="00407A2F" w:rsidP="00407A2F">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2"/>
          <w:szCs w:val="22"/>
        </w:rPr>
      </w:pPr>
      <w:r>
        <w:rPr>
          <w:smallCaps/>
          <w:color w:val="000000"/>
          <w:sz w:val="22"/>
          <w:szCs w:val="22"/>
        </w:rPr>
        <w:t xml:space="preserve">2. </w:t>
      </w:r>
      <w:r w:rsidR="005C46FB">
        <w:t>PROTÉOMIQUE D’INTERACTIONS</w:t>
      </w:r>
    </w:p>
    <w:p w14:paraId="66776863" w14:textId="1BB0655B" w:rsidR="005C46FB" w:rsidRDefault="005C46FB" w:rsidP="005C46FB">
      <w:pPr>
        <w:ind w:firstLine="708"/>
        <w:jc w:val="both"/>
        <w:rPr>
          <w:sz w:val="22"/>
          <w:szCs w:val="22"/>
        </w:rPr>
      </w:pPr>
      <w:bookmarkStart w:id="1" w:name="_heading=h.gjdgxs" w:colFirst="0" w:colLast="0"/>
      <w:bookmarkStart w:id="2" w:name="_heading=h.5xtujympleet" w:colFirst="0" w:colLast="0"/>
      <w:bookmarkEnd w:id="1"/>
      <w:bookmarkEnd w:id="2"/>
      <w:r w:rsidRPr="005C46FB">
        <w:rPr>
          <w:sz w:val="22"/>
          <w:szCs w:val="22"/>
        </w:rPr>
        <w:t xml:space="preserve">La protéomique d’interactions est constituée de la technique du double-hybride et de la technique TAP-TAG. Pour cette seconde technique, les complexes présents dans la cellule d’intérêt sont extraits par purification. Permettant de déterminer les interactions entre les protéines d’une même cellule et également les variations de leur composition dans différentes situations biologiques. </w:t>
      </w:r>
      <w:bookmarkStart w:id="3" w:name="_heading=h.jbwh1zcv298z" w:colFirst="0" w:colLast="0"/>
      <w:bookmarkStart w:id="4" w:name="_heading=h.713vcngvfbpy" w:colFirst="0" w:colLast="0"/>
      <w:bookmarkEnd w:id="3"/>
      <w:bookmarkEnd w:id="4"/>
    </w:p>
    <w:p w14:paraId="3AB403A2" w14:textId="09DDA49E" w:rsidR="00407A2F" w:rsidRPr="00624275" w:rsidRDefault="00624275" w:rsidP="00624275">
      <w:pPr>
        <w:ind w:firstLine="708"/>
        <w:jc w:val="center"/>
        <w:rPr>
          <w:sz w:val="18"/>
          <w:szCs w:val="18"/>
        </w:rPr>
      </w:pPr>
      <w:r w:rsidRPr="00624275">
        <w:rPr>
          <w:noProof/>
          <w:sz w:val="18"/>
          <w:szCs w:val="18"/>
        </w:rPr>
        <w:lastRenderedPageBreak/>
        <w:drawing>
          <wp:anchor distT="0" distB="0" distL="114300" distR="114300" simplePos="0" relativeHeight="251659264" behindDoc="0" locked="0" layoutInCell="1" allowOverlap="1" wp14:anchorId="620D8A1E" wp14:editId="24A28539">
            <wp:simplePos x="0" y="0"/>
            <wp:positionH relativeFrom="margin">
              <wp:posOffset>2003425</wp:posOffset>
            </wp:positionH>
            <wp:positionV relativeFrom="paragraph">
              <wp:posOffset>0</wp:posOffset>
            </wp:positionV>
            <wp:extent cx="2055495" cy="1668780"/>
            <wp:effectExtent l="0" t="0" r="1905" b="762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55495" cy="1668780"/>
                    </a:xfrm>
                    <a:prstGeom prst="rect">
                      <a:avLst/>
                    </a:prstGeom>
                  </pic:spPr>
                </pic:pic>
              </a:graphicData>
            </a:graphic>
            <wp14:sizeRelH relativeFrom="margin">
              <wp14:pctWidth>0</wp14:pctWidth>
            </wp14:sizeRelH>
            <wp14:sizeRelV relativeFrom="margin">
              <wp14:pctHeight>0</wp14:pctHeight>
            </wp14:sizeRelV>
          </wp:anchor>
        </w:drawing>
      </w:r>
      <w:r w:rsidRPr="00624275">
        <w:rPr>
          <w:sz w:val="18"/>
          <w:szCs w:val="18"/>
        </w:rPr>
        <w:t>https://www.researchgate.net/figure/Resultats-du-double-hybride-deux-a-deux-chez-la-levure-pour-linteraction</w:t>
      </w:r>
      <w:r w:rsidRPr="00624275">
        <w:rPr>
          <w:sz w:val="18"/>
          <w:szCs w:val="18"/>
        </w:rPr>
        <w:t>Gag-RPL7-et_fig29_283816583</w:t>
      </w:r>
    </w:p>
    <w:p w14:paraId="26FC32D2" w14:textId="797FEFE4" w:rsidR="00407A2F" w:rsidRDefault="00407A2F" w:rsidP="00407A2F">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2"/>
          <w:szCs w:val="22"/>
          <w:vertAlign w:val="superscript"/>
        </w:rPr>
      </w:pPr>
      <w:bookmarkStart w:id="5" w:name="_heading=h.hmxgbljvdzqa" w:colFirst="0" w:colLast="0"/>
      <w:bookmarkEnd w:id="5"/>
      <w:r>
        <w:rPr>
          <w:smallCaps/>
          <w:color w:val="000000"/>
          <w:sz w:val="22"/>
          <w:szCs w:val="22"/>
        </w:rPr>
        <w:t xml:space="preserve">Avantages et inconvénients </w:t>
      </w: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5"/>
        <w:gridCol w:w="4565"/>
      </w:tblGrid>
      <w:tr w:rsidR="00407A2F" w14:paraId="011F3CE2" w14:textId="77777777" w:rsidTr="00624275">
        <w:trPr>
          <w:trHeight w:val="163"/>
        </w:trPr>
        <w:tc>
          <w:tcPr>
            <w:tcW w:w="4565" w:type="dxa"/>
            <w:tcBorders>
              <w:top w:val="single" w:sz="8" w:space="0" w:color="0000FF"/>
              <w:left w:val="single" w:sz="8" w:space="0" w:color="0000FF"/>
              <w:bottom w:val="single" w:sz="8" w:space="0" w:color="0000FF"/>
            </w:tcBorders>
            <w:shd w:val="clear" w:color="auto" w:fill="auto"/>
            <w:tcMar>
              <w:top w:w="100" w:type="dxa"/>
              <w:left w:w="100" w:type="dxa"/>
              <w:bottom w:w="100" w:type="dxa"/>
              <w:right w:w="100" w:type="dxa"/>
            </w:tcMar>
          </w:tcPr>
          <w:p w14:paraId="34367B61" w14:textId="77777777" w:rsidR="00407A2F" w:rsidRDefault="00407A2F" w:rsidP="005D1EA6">
            <w:pPr>
              <w:widowControl w:val="0"/>
              <w:pBdr>
                <w:top w:val="nil"/>
                <w:left w:val="nil"/>
                <w:bottom w:val="nil"/>
                <w:right w:val="nil"/>
                <w:between w:val="nil"/>
              </w:pBdr>
              <w:spacing w:before="0" w:after="0" w:line="240" w:lineRule="auto"/>
              <w:jc w:val="center"/>
              <w:rPr>
                <w:sz w:val="22"/>
                <w:szCs w:val="22"/>
              </w:rPr>
            </w:pPr>
            <w:r>
              <w:rPr>
                <w:sz w:val="22"/>
                <w:szCs w:val="22"/>
              </w:rPr>
              <w:t xml:space="preserve">Avantages </w:t>
            </w:r>
          </w:p>
        </w:tc>
        <w:tc>
          <w:tcPr>
            <w:tcW w:w="4565" w:type="dxa"/>
            <w:tcBorders>
              <w:top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292810F5" w14:textId="77777777" w:rsidR="00407A2F" w:rsidRDefault="00407A2F" w:rsidP="005D1EA6">
            <w:pPr>
              <w:widowControl w:val="0"/>
              <w:pBdr>
                <w:top w:val="nil"/>
                <w:left w:val="nil"/>
                <w:bottom w:val="nil"/>
                <w:right w:val="nil"/>
                <w:between w:val="nil"/>
              </w:pBdr>
              <w:spacing w:before="0" w:after="0" w:line="240" w:lineRule="auto"/>
              <w:jc w:val="center"/>
              <w:rPr>
                <w:sz w:val="22"/>
                <w:szCs w:val="22"/>
              </w:rPr>
            </w:pPr>
            <w:r>
              <w:rPr>
                <w:sz w:val="22"/>
                <w:szCs w:val="22"/>
              </w:rPr>
              <w:t>Inconvénients</w:t>
            </w:r>
          </w:p>
        </w:tc>
      </w:tr>
      <w:tr w:rsidR="00407A2F" w14:paraId="226489FF" w14:textId="77777777" w:rsidTr="00624275">
        <w:trPr>
          <w:trHeight w:val="362"/>
        </w:trPr>
        <w:tc>
          <w:tcPr>
            <w:tcW w:w="4565" w:type="dxa"/>
            <w:tcBorders>
              <w:top w:val="single" w:sz="8" w:space="0" w:color="0000FF"/>
              <w:bottom w:val="single" w:sz="8" w:space="0" w:color="0000FF"/>
            </w:tcBorders>
            <w:shd w:val="clear" w:color="auto" w:fill="auto"/>
            <w:tcMar>
              <w:top w:w="100" w:type="dxa"/>
              <w:left w:w="100" w:type="dxa"/>
              <w:bottom w:w="100" w:type="dxa"/>
              <w:right w:w="100" w:type="dxa"/>
            </w:tcMar>
          </w:tcPr>
          <w:p w14:paraId="266F4E38" w14:textId="0C5C00A6" w:rsidR="00407A2F" w:rsidRPr="00624275" w:rsidRDefault="005C46FB" w:rsidP="005C46FB">
            <w:pPr>
              <w:pBdr>
                <w:top w:val="nil"/>
                <w:left w:val="nil"/>
                <w:bottom w:val="nil"/>
                <w:right w:val="nil"/>
                <w:between w:val="nil"/>
              </w:pBdr>
              <w:jc w:val="both"/>
              <w:rPr>
                <w:sz w:val="22"/>
                <w:szCs w:val="22"/>
              </w:rPr>
            </w:pPr>
            <w:r w:rsidRPr="00624275">
              <w:rPr>
                <w:sz w:val="22"/>
                <w:szCs w:val="22"/>
              </w:rPr>
              <w:t>Méthode de grande précision</w:t>
            </w:r>
          </w:p>
        </w:tc>
        <w:tc>
          <w:tcPr>
            <w:tcW w:w="4565" w:type="dxa"/>
            <w:tcBorders>
              <w:top w:val="single" w:sz="8" w:space="0" w:color="0000FF"/>
              <w:bottom w:val="single" w:sz="8" w:space="0" w:color="0000FF"/>
            </w:tcBorders>
            <w:shd w:val="clear" w:color="auto" w:fill="auto"/>
            <w:tcMar>
              <w:top w:w="100" w:type="dxa"/>
              <w:left w:w="100" w:type="dxa"/>
              <w:bottom w:w="100" w:type="dxa"/>
              <w:right w:w="100" w:type="dxa"/>
            </w:tcMar>
          </w:tcPr>
          <w:p w14:paraId="171882F4" w14:textId="02718920" w:rsidR="00407A2F" w:rsidRDefault="005C46FB" w:rsidP="005C46FB">
            <w:pPr>
              <w:pBdr>
                <w:top w:val="nil"/>
                <w:left w:val="nil"/>
                <w:bottom w:val="nil"/>
                <w:right w:val="nil"/>
                <w:between w:val="nil"/>
              </w:pBdr>
              <w:jc w:val="both"/>
              <w:rPr>
                <w:sz w:val="22"/>
                <w:szCs w:val="22"/>
              </w:rPr>
            </w:pPr>
            <w:r w:rsidRPr="005C46FB">
              <w:rPr>
                <w:sz w:val="22"/>
                <w:szCs w:val="22"/>
              </w:rPr>
              <w:t>Limites technologiques de l’analyse protéomique</w:t>
            </w:r>
          </w:p>
        </w:tc>
      </w:tr>
      <w:tr w:rsidR="005C46FB" w14:paraId="4D731938" w14:textId="77777777" w:rsidTr="00624275">
        <w:trPr>
          <w:trHeight w:val="547"/>
        </w:trPr>
        <w:tc>
          <w:tcPr>
            <w:tcW w:w="4565" w:type="dxa"/>
            <w:tcBorders>
              <w:top w:val="single" w:sz="8" w:space="0" w:color="0000FF"/>
            </w:tcBorders>
            <w:shd w:val="clear" w:color="auto" w:fill="auto"/>
            <w:tcMar>
              <w:top w:w="100" w:type="dxa"/>
              <w:left w:w="100" w:type="dxa"/>
              <w:bottom w:w="100" w:type="dxa"/>
              <w:right w:w="100" w:type="dxa"/>
            </w:tcMar>
          </w:tcPr>
          <w:p w14:paraId="6C09BAFC" w14:textId="5631EA04" w:rsidR="005C46FB" w:rsidRDefault="005C46FB" w:rsidP="005C46FB">
            <w:pPr>
              <w:pBdr>
                <w:top w:val="nil"/>
                <w:left w:val="nil"/>
                <w:bottom w:val="nil"/>
                <w:right w:val="nil"/>
                <w:between w:val="nil"/>
              </w:pBdr>
              <w:jc w:val="both"/>
              <w:rPr>
                <w:sz w:val="22"/>
                <w:szCs w:val="22"/>
              </w:rPr>
            </w:pPr>
            <w:r>
              <w:rPr>
                <w:sz w:val="22"/>
                <w:szCs w:val="22"/>
              </w:rPr>
              <w:t>B</w:t>
            </w:r>
            <w:r w:rsidRPr="005C46FB">
              <w:rPr>
                <w:sz w:val="22"/>
                <w:szCs w:val="22"/>
              </w:rPr>
              <w:t>onne reproductibilité</w:t>
            </w:r>
          </w:p>
        </w:tc>
        <w:tc>
          <w:tcPr>
            <w:tcW w:w="4565" w:type="dxa"/>
            <w:tcBorders>
              <w:top w:val="single" w:sz="8" w:space="0" w:color="0000FF"/>
            </w:tcBorders>
            <w:shd w:val="clear" w:color="auto" w:fill="auto"/>
            <w:tcMar>
              <w:top w:w="100" w:type="dxa"/>
              <w:left w:w="100" w:type="dxa"/>
              <w:bottom w:w="100" w:type="dxa"/>
              <w:right w:w="100" w:type="dxa"/>
            </w:tcMar>
          </w:tcPr>
          <w:p w14:paraId="4C575560" w14:textId="2D72E083" w:rsidR="005C46FB" w:rsidRDefault="005C46FB" w:rsidP="005C46FB">
            <w:pPr>
              <w:pBdr>
                <w:top w:val="nil"/>
                <w:left w:val="nil"/>
                <w:bottom w:val="nil"/>
                <w:right w:val="nil"/>
                <w:between w:val="nil"/>
              </w:pBdr>
              <w:jc w:val="both"/>
              <w:rPr>
                <w:sz w:val="22"/>
                <w:szCs w:val="22"/>
              </w:rPr>
            </w:pPr>
            <w:r w:rsidRPr="005C46FB">
              <w:rPr>
                <w:sz w:val="22"/>
                <w:szCs w:val="22"/>
              </w:rPr>
              <w:t>Difficultés pour gérer de grands ensembles de données</w:t>
            </w:r>
          </w:p>
        </w:tc>
      </w:tr>
      <w:tr w:rsidR="005C46FB" w14:paraId="4476501E" w14:textId="77777777" w:rsidTr="00624275">
        <w:trPr>
          <w:trHeight w:val="540"/>
        </w:trPr>
        <w:tc>
          <w:tcPr>
            <w:tcW w:w="4565" w:type="dxa"/>
            <w:tcBorders>
              <w:top w:val="single" w:sz="8" w:space="0" w:color="0000FF"/>
            </w:tcBorders>
            <w:shd w:val="clear" w:color="auto" w:fill="auto"/>
            <w:tcMar>
              <w:top w:w="100" w:type="dxa"/>
              <w:left w:w="100" w:type="dxa"/>
              <w:bottom w:w="100" w:type="dxa"/>
              <w:right w:w="100" w:type="dxa"/>
            </w:tcMar>
          </w:tcPr>
          <w:p w14:paraId="10AFAAC0" w14:textId="77777777" w:rsidR="005C46FB" w:rsidRDefault="005C46FB" w:rsidP="005C46FB">
            <w:pPr>
              <w:pBdr>
                <w:top w:val="nil"/>
                <w:left w:val="nil"/>
                <w:bottom w:val="nil"/>
                <w:right w:val="nil"/>
                <w:between w:val="nil"/>
              </w:pBdr>
              <w:ind w:firstLine="708"/>
              <w:jc w:val="both"/>
              <w:rPr>
                <w:sz w:val="22"/>
                <w:szCs w:val="22"/>
              </w:rPr>
            </w:pPr>
          </w:p>
        </w:tc>
        <w:tc>
          <w:tcPr>
            <w:tcW w:w="4565" w:type="dxa"/>
            <w:tcBorders>
              <w:top w:val="single" w:sz="8" w:space="0" w:color="0000FF"/>
            </w:tcBorders>
            <w:shd w:val="clear" w:color="auto" w:fill="auto"/>
            <w:tcMar>
              <w:top w:w="100" w:type="dxa"/>
              <w:left w:w="100" w:type="dxa"/>
              <w:bottom w:w="100" w:type="dxa"/>
              <w:right w:w="100" w:type="dxa"/>
            </w:tcMar>
          </w:tcPr>
          <w:p w14:paraId="3E364EB5" w14:textId="6DC97C94" w:rsidR="005C46FB" w:rsidRDefault="00624275" w:rsidP="005C46FB">
            <w:pPr>
              <w:pBdr>
                <w:top w:val="nil"/>
                <w:left w:val="nil"/>
                <w:bottom w:val="nil"/>
                <w:right w:val="nil"/>
                <w:between w:val="nil"/>
              </w:pBdr>
              <w:jc w:val="both"/>
              <w:rPr>
                <w:sz w:val="22"/>
                <w:szCs w:val="22"/>
              </w:rPr>
            </w:pPr>
            <w:r w:rsidRPr="005C46FB">
              <w:rPr>
                <w:sz w:val="22"/>
                <w:szCs w:val="22"/>
              </w:rPr>
              <w:t>Difficulté avec l’hétérogénéité des protéines au niveau physicochimique et de leur expression</w:t>
            </w:r>
          </w:p>
        </w:tc>
      </w:tr>
    </w:tbl>
    <w:p w14:paraId="060EB213" w14:textId="1788D9E6" w:rsidR="00407A2F" w:rsidRDefault="005C46FB" w:rsidP="00407A2F">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2"/>
          <w:szCs w:val="22"/>
          <w:vertAlign w:val="superscript"/>
        </w:rPr>
      </w:pPr>
      <w:r>
        <w:rPr>
          <w:smallCaps/>
          <w:color w:val="000000"/>
          <w:sz w:val="22"/>
          <w:szCs w:val="22"/>
        </w:rPr>
        <w:t>Applications</w:t>
      </w:r>
    </w:p>
    <w:p w14:paraId="7CD24818" w14:textId="592DEEF3" w:rsidR="00407A2F" w:rsidRDefault="005C46FB" w:rsidP="00407A2F">
      <w:pPr>
        <w:ind w:firstLine="708"/>
        <w:jc w:val="both"/>
        <w:rPr>
          <w:sz w:val="22"/>
          <w:szCs w:val="22"/>
        </w:rPr>
      </w:pPr>
      <w:bookmarkStart w:id="6" w:name="_heading=h.eknm5tag77ui" w:colFirst="0" w:colLast="0"/>
      <w:bookmarkEnd w:id="6"/>
      <w:r w:rsidRPr="005C46FB">
        <w:rPr>
          <w:sz w:val="22"/>
          <w:szCs w:val="22"/>
        </w:rPr>
        <w:t>L’approche protéomique peut être utilisée pour améliorer la compréhension des maladies en identifiant des marqueurs spécifiques, et ainsi obtenir de meilleurs diagnostics et traitements. Il est souvent possible d’obtenir une description moléculaire phénotypique des maladies. Par exemple, dans certains cancers de la vessie l’étude des phénomènes de transdifférenciation épithéliale a permis de mettre en évidence une expression déréglée de certaines isoformes de kératines. De plus, cette technique peut également être utilisée pour la découverte de nouveaux médicaments ou pour des études toxicologiques en s’intéressant aux effets secondaires des molécules bioactives. Par exemple, la ciclosporine A qui est un médicament néphrotoxique</w:t>
      </w:r>
      <w:r w:rsidR="00407A2F">
        <w:rPr>
          <w:sz w:val="22"/>
          <w:szCs w:val="22"/>
        </w:rPr>
        <w:t>.</w:t>
      </w:r>
    </w:p>
    <w:p w14:paraId="2A24CA54" w14:textId="77777777" w:rsidR="00407A2F" w:rsidRDefault="00407A2F" w:rsidP="00407A2F">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2"/>
          <w:szCs w:val="22"/>
        </w:rPr>
      </w:pPr>
      <w:bookmarkStart w:id="7" w:name="_heading=h.cw3xzh4n17it" w:colFirst="0" w:colLast="0"/>
      <w:bookmarkEnd w:id="7"/>
      <w:r>
        <w:rPr>
          <w:smallCaps/>
          <w:color w:val="000000"/>
          <w:sz w:val="22"/>
          <w:szCs w:val="22"/>
        </w:rPr>
        <w:t>Sources</w:t>
      </w:r>
    </w:p>
    <w:p w14:paraId="4910D8E1" w14:textId="77777777" w:rsidR="005C46FB" w:rsidRPr="00624275" w:rsidRDefault="005C46FB" w:rsidP="00624275">
      <w:pPr>
        <w:spacing w:after="0"/>
        <w:jc w:val="both"/>
        <w:rPr>
          <w:b/>
          <w:bCs/>
        </w:rPr>
      </w:pPr>
      <w:r w:rsidRPr="00624275">
        <w:rPr>
          <w:b/>
          <w:bCs/>
        </w:rPr>
        <w:t xml:space="preserve">Protéomique </w:t>
      </w:r>
    </w:p>
    <w:p w14:paraId="782DA5AF" w14:textId="2DCD5C27" w:rsidR="005C46FB" w:rsidRPr="00624275" w:rsidRDefault="005C46FB" w:rsidP="00624275">
      <w:pPr>
        <w:spacing w:after="0"/>
        <w:jc w:val="both"/>
      </w:pPr>
      <w:r w:rsidRPr="00624275">
        <w:t>https://www.phylogene.com/index.php?pagendx=220</w:t>
      </w:r>
    </w:p>
    <w:bookmarkEnd w:id="0"/>
    <w:p w14:paraId="70C9645B" w14:textId="77777777" w:rsidR="005C46FB" w:rsidRPr="00624275" w:rsidRDefault="005C46FB" w:rsidP="00624275">
      <w:pPr>
        <w:spacing w:after="0"/>
      </w:pPr>
      <w:r w:rsidRPr="00624275">
        <w:rPr>
          <w:b/>
          <w:bCs/>
        </w:rPr>
        <w:t>L’analyse protéomique : concepts, réalités et perspectives en thérapeutique</w:t>
      </w:r>
      <w:r w:rsidRPr="00624275">
        <w:t xml:space="preserve"> </w:t>
      </w:r>
    </w:p>
    <w:p w14:paraId="3DA7FC97" w14:textId="0E79C1E9" w:rsidR="005C46FB" w:rsidRPr="00624275" w:rsidRDefault="005C46FB" w:rsidP="00624275">
      <w:pPr>
        <w:spacing w:after="0"/>
      </w:pPr>
      <w:hyperlink r:id="rId9" w:history="1">
        <w:r w:rsidRPr="00624275">
          <w:rPr>
            <w:rStyle w:val="Lienhypertexte"/>
          </w:rPr>
          <w:t>http://ipubli-inserm.inist.fr/bitstream/handle/10608/5242/MS_2004_5_587.html</w:t>
        </w:r>
      </w:hyperlink>
      <w:r w:rsidRPr="00624275">
        <w:t xml:space="preserve"> </w:t>
      </w:r>
    </w:p>
    <w:p w14:paraId="6057B5D3" w14:textId="77777777" w:rsidR="005C46FB" w:rsidRPr="00624275" w:rsidRDefault="005C46FB" w:rsidP="00624275">
      <w:pPr>
        <w:spacing w:after="0"/>
      </w:pPr>
      <w:r w:rsidRPr="00624275">
        <w:rPr>
          <w:b/>
          <w:bCs/>
        </w:rPr>
        <w:t>Méthode TAP</w:t>
      </w:r>
      <w:r w:rsidRPr="00624275">
        <w:t xml:space="preserve"> </w:t>
      </w:r>
    </w:p>
    <w:p w14:paraId="05C33ADF" w14:textId="2B7F3874" w:rsidR="005C46FB" w:rsidRPr="00624275" w:rsidRDefault="005C46FB" w:rsidP="00624275">
      <w:pPr>
        <w:spacing w:after="0"/>
      </w:pPr>
      <w:hyperlink r:id="rId10" w:history="1">
        <w:r w:rsidRPr="00624275">
          <w:rPr>
            <w:rStyle w:val="Lienhypertexte"/>
          </w:rPr>
          <w:t>https://fr.wikipedia.org/wiki/Méthode_TAP</w:t>
        </w:r>
      </w:hyperlink>
      <w:r w:rsidRPr="00624275">
        <w:t xml:space="preserve"> </w:t>
      </w:r>
    </w:p>
    <w:p w14:paraId="58205499" w14:textId="77777777" w:rsidR="005C46FB" w:rsidRPr="00624275" w:rsidRDefault="005C46FB" w:rsidP="00624275">
      <w:pPr>
        <w:spacing w:after="0"/>
      </w:pPr>
      <w:r w:rsidRPr="00624275">
        <w:rPr>
          <w:b/>
          <w:bCs/>
        </w:rPr>
        <w:t>Protéomique - L’histoire de la chenille et du papillon</w:t>
      </w:r>
      <w:r w:rsidRPr="00624275">
        <w:t xml:space="preserve"> </w:t>
      </w:r>
    </w:p>
    <w:p w14:paraId="7119920D" w14:textId="069005AB" w:rsidR="00407A2F" w:rsidRPr="00624275" w:rsidRDefault="005C46FB" w:rsidP="00624275">
      <w:pPr>
        <w:spacing w:after="0"/>
      </w:pPr>
      <w:hyperlink r:id="rId11" w:history="1">
        <w:r w:rsidRPr="00624275">
          <w:rPr>
            <w:rStyle w:val="Lienhypertexte"/>
          </w:rPr>
          <w:t>https://www.inserm.fr/information-en-sante/dossiers-information/proteomiqu</w:t>
        </w:r>
        <w:r w:rsidRPr="00624275">
          <w:rPr>
            <w:rStyle w:val="Lienhypertexte"/>
          </w:rPr>
          <w:t>e</w:t>
        </w:r>
      </w:hyperlink>
    </w:p>
    <w:p w14:paraId="2E6CF18E" w14:textId="77777777" w:rsidR="005C46FB" w:rsidRPr="00624275" w:rsidRDefault="005C46FB" w:rsidP="00407A2F"/>
    <w:p w14:paraId="0BDDDDEB" w14:textId="77777777" w:rsidR="005F4399" w:rsidRDefault="003E6806" w:rsidP="005C46FB">
      <w:pPr>
        <w:ind w:firstLine="708"/>
        <w:jc w:val="both"/>
      </w:pPr>
    </w:p>
    <w:sectPr w:rsidR="005F4399">
      <w:headerReference w:type="default" r:id="rId12"/>
      <w:footerReference w:type="defaul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BA39A" w14:textId="77777777" w:rsidR="003E6806" w:rsidRDefault="003E6806" w:rsidP="00624275">
      <w:pPr>
        <w:spacing w:before="0" w:after="0" w:line="240" w:lineRule="auto"/>
      </w:pPr>
      <w:r>
        <w:separator/>
      </w:r>
    </w:p>
  </w:endnote>
  <w:endnote w:type="continuationSeparator" w:id="0">
    <w:p w14:paraId="7D8004B0" w14:textId="77777777" w:rsidR="003E6806" w:rsidRDefault="003E6806" w:rsidP="006242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7E0DF" w14:textId="77777777" w:rsidR="00F22599" w:rsidRDefault="003E6806">
    <w:pPr>
      <w:pBdr>
        <w:top w:val="nil"/>
        <w:left w:val="nil"/>
        <w:bottom w:val="nil"/>
        <w:right w:val="nil"/>
        <w:between w:val="nil"/>
      </w:pBdr>
      <w:tabs>
        <w:tab w:val="center" w:pos="4536"/>
        <w:tab w:val="right" w:pos="9072"/>
      </w:tabs>
      <w:spacing w:before="0" w:after="0" w:line="240" w:lineRule="auto"/>
      <w:jc w:val="right"/>
      <w:rPr>
        <w:color w:val="000000"/>
      </w:rP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98BA7" w14:textId="77777777" w:rsidR="003E6806" w:rsidRDefault="003E6806" w:rsidP="00624275">
      <w:pPr>
        <w:spacing w:before="0" w:after="0" w:line="240" w:lineRule="auto"/>
      </w:pPr>
      <w:r>
        <w:separator/>
      </w:r>
    </w:p>
  </w:footnote>
  <w:footnote w:type="continuationSeparator" w:id="0">
    <w:p w14:paraId="27C7DC81" w14:textId="77777777" w:rsidR="003E6806" w:rsidRDefault="003E6806" w:rsidP="006242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BD4D1" w14:textId="77777777" w:rsidR="00624275" w:rsidRPr="00624275" w:rsidRDefault="00624275">
    <w:pPr>
      <w:pBdr>
        <w:top w:val="nil"/>
        <w:left w:val="nil"/>
        <w:bottom w:val="nil"/>
        <w:right w:val="nil"/>
        <w:between w:val="nil"/>
      </w:pBdr>
      <w:tabs>
        <w:tab w:val="center" w:pos="4536"/>
        <w:tab w:val="right" w:pos="9072"/>
      </w:tabs>
      <w:spacing w:before="0" w:after="0" w:line="240" w:lineRule="auto"/>
      <w:jc w:val="right"/>
      <w:rPr>
        <w:rFonts w:ascii="Arial" w:eastAsia="Arial" w:hAnsi="Arial" w:cs="Arial"/>
      </w:rPr>
    </w:pPr>
    <w:r w:rsidRPr="00624275">
      <w:rPr>
        <w:rFonts w:ascii="Arial" w:eastAsia="Arial" w:hAnsi="Arial" w:cs="Arial"/>
      </w:rPr>
      <w:t xml:space="preserve">Alice </w:t>
    </w:r>
    <w:proofErr w:type="spellStart"/>
    <w:r w:rsidRPr="00624275">
      <w:rPr>
        <w:rFonts w:ascii="Arial" w:eastAsia="Arial" w:hAnsi="Arial" w:cs="Arial"/>
      </w:rPr>
      <w:t>Furmankiewicz</w:t>
    </w:r>
    <w:proofErr w:type="spellEnd"/>
    <w:r w:rsidRPr="00624275">
      <w:rPr>
        <w:rFonts w:ascii="Arial" w:eastAsia="Arial" w:hAnsi="Arial" w:cs="Arial"/>
      </w:rPr>
      <w:t xml:space="preserve"> </w:t>
    </w:r>
  </w:p>
  <w:p w14:paraId="20D56DAB" w14:textId="15DA3C66" w:rsidR="00F22599" w:rsidRDefault="003E6806">
    <w:pPr>
      <w:pBdr>
        <w:top w:val="nil"/>
        <w:left w:val="nil"/>
        <w:bottom w:val="nil"/>
        <w:right w:val="nil"/>
        <w:between w:val="nil"/>
      </w:pBdr>
      <w:tabs>
        <w:tab w:val="center" w:pos="4536"/>
        <w:tab w:val="right" w:pos="9072"/>
      </w:tabs>
      <w:spacing w:before="0" w:after="0" w:line="240" w:lineRule="auto"/>
      <w:jc w:val="right"/>
      <w:rPr>
        <w:rFonts w:ascii="Arial" w:eastAsia="Arial" w:hAnsi="Arial" w:cs="Arial"/>
        <w:color w:val="000000"/>
      </w:rPr>
    </w:pPr>
    <w:r w:rsidRPr="00624275">
      <w:rPr>
        <w:rFonts w:ascii="Arial" w:eastAsia="Arial" w:hAnsi="Arial" w:cs="Arial"/>
      </w:rPr>
      <w:drawing>
        <wp:anchor distT="0" distB="0" distL="114300" distR="114300" simplePos="0" relativeHeight="251659264" behindDoc="0" locked="0" layoutInCell="1" hidden="0" allowOverlap="1" wp14:anchorId="50404BF4" wp14:editId="4DAEA5E2">
          <wp:simplePos x="0" y="0"/>
          <wp:positionH relativeFrom="column">
            <wp:posOffset>-665707</wp:posOffset>
          </wp:positionH>
          <wp:positionV relativeFrom="paragraph">
            <wp:posOffset>-310589</wp:posOffset>
          </wp:positionV>
          <wp:extent cx="661820" cy="661820"/>
          <wp:effectExtent l="0" t="0" r="0" b="0"/>
          <wp:wrapNone/>
          <wp:docPr id="12" name="image5.png" descr="Une image contenant pièce, dessi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5.png" descr="Une image contenant pièce, dessin&#10;&#10;Description générée automatiquement"/>
                  <pic:cNvPicPr preferRelativeResize="0"/>
                </pic:nvPicPr>
                <pic:blipFill>
                  <a:blip r:embed="rId1"/>
                  <a:srcRect/>
                  <a:stretch>
                    <a:fillRect/>
                  </a:stretch>
                </pic:blipFill>
                <pic:spPr>
                  <a:xfrm>
                    <a:off x="0" y="0"/>
                    <a:ext cx="661820" cy="661820"/>
                  </a:xfrm>
                  <a:prstGeom prst="rect">
                    <a:avLst/>
                  </a:prstGeom>
                  <a:ln/>
                </pic:spPr>
              </pic:pic>
            </a:graphicData>
          </a:graphic>
        </wp:anchor>
      </w:drawing>
    </w:r>
    <w:r>
      <w:rPr>
        <w:rFonts w:ascii="Arial" w:eastAsia="Arial" w:hAnsi="Arial" w:cs="Arial"/>
      </w:rPr>
      <w:t>Chloé Tr</w:t>
    </w:r>
    <w:r>
      <w:rPr>
        <w:rFonts w:ascii="Arial" w:eastAsia="Arial" w:hAnsi="Arial" w:cs="Arial"/>
      </w:rPr>
      <w:t>uo</w:t>
    </w:r>
    <w:r>
      <w:rPr>
        <w:rFonts w:ascii="Arial" w:eastAsia="Arial" w:hAnsi="Arial" w:cs="Arial"/>
      </w:rPr>
      <w:t>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8652A0"/>
    <w:multiLevelType w:val="multilevel"/>
    <w:tmpl w:val="FCF01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2F"/>
    <w:rsid w:val="00177918"/>
    <w:rsid w:val="003E6806"/>
    <w:rsid w:val="00407A2F"/>
    <w:rsid w:val="004A104C"/>
    <w:rsid w:val="004A14BA"/>
    <w:rsid w:val="005C46FB"/>
    <w:rsid w:val="00624275"/>
    <w:rsid w:val="006B726A"/>
    <w:rsid w:val="006E7267"/>
    <w:rsid w:val="006F3F6D"/>
    <w:rsid w:val="00717EA1"/>
    <w:rsid w:val="008E7D93"/>
    <w:rsid w:val="00A30F48"/>
    <w:rsid w:val="00BA10B6"/>
    <w:rsid w:val="00EB10C8"/>
    <w:rsid w:val="00FE2C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F5BF4"/>
  <w15:chartTrackingRefBased/>
  <w15:docId w15:val="{3BBD0C32-AF4C-4188-B335-F9C00771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A2F"/>
    <w:pPr>
      <w:spacing w:before="100" w:after="200" w:line="276" w:lineRule="auto"/>
    </w:pPr>
    <w:rPr>
      <w:rFonts w:ascii="Calibri" w:eastAsia="Calibri" w:hAnsi="Calibri" w:cs="Calibri"/>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46FB"/>
    <w:rPr>
      <w:color w:val="0563C1" w:themeColor="hyperlink"/>
      <w:u w:val="single"/>
    </w:rPr>
  </w:style>
  <w:style w:type="character" w:styleId="Mentionnonrsolue">
    <w:name w:val="Unresolved Mention"/>
    <w:basedOn w:val="Policepardfaut"/>
    <w:uiPriority w:val="99"/>
    <w:semiHidden/>
    <w:unhideWhenUsed/>
    <w:rsid w:val="005C46FB"/>
    <w:rPr>
      <w:color w:val="605E5C"/>
      <w:shd w:val="clear" w:color="auto" w:fill="E1DFDD"/>
    </w:rPr>
  </w:style>
  <w:style w:type="paragraph" w:customStyle="1" w:styleId="DecimalAligned">
    <w:name w:val="Decimal Aligned"/>
    <w:basedOn w:val="Normal"/>
    <w:uiPriority w:val="40"/>
    <w:qFormat/>
    <w:rsid w:val="00624275"/>
    <w:pPr>
      <w:tabs>
        <w:tab w:val="decimal" w:pos="360"/>
      </w:tabs>
      <w:spacing w:before="0"/>
    </w:pPr>
    <w:rPr>
      <w:rFonts w:asciiTheme="minorHAnsi" w:eastAsiaTheme="minorEastAsia" w:hAnsiTheme="minorHAnsi" w:cs="Times New Roman"/>
      <w:sz w:val="22"/>
      <w:szCs w:val="22"/>
    </w:rPr>
  </w:style>
  <w:style w:type="paragraph" w:styleId="Notedebasdepage">
    <w:name w:val="footnote text"/>
    <w:basedOn w:val="Normal"/>
    <w:link w:val="NotedebasdepageCar"/>
    <w:uiPriority w:val="99"/>
    <w:unhideWhenUsed/>
    <w:rsid w:val="00624275"/>
    <w:pPr>
      <w:spacing w:before="0" w:after="0" w:line="240" w:lineRule="auto"/>
    </w:pPr>
    <w:rPr>
      <w:rFonts w:asciiTheme="minorHAnsi" w:eastAsiaTheme="minorEastAsia" w:hAnsiTheme="minorHAnsi" w:cs="Times New Roman"/>
    </w:rPr>
  </w:style>
  <w:style w:type="character" w:customStyle="1" w:styleId="NotedebasdepageCar">
    <w:name w:val="Note de bas de page Car"/>
    <w:basedOn w:val="Policepardfaut"/>
    <w:link w:val="Notedebasdepage"/>
    <w:uiPriority w:val="99"/>
    <w:rsid w:val="00624275"/>
    <w:rPr>
      <w:rFonts w:eastAsiaTheme="minorEastAsia" w:cs="Times New Roman"/>
      <w:sz w:val="20"/>
      <w:szCs w:val="20"/>
      <w:lang w:eastAsia="fr-FR"/>
    </w:rPr>
  </w:style>
  <w:style w:type="character" w:styleId="Accentuationlgre">
    <w:name w:val="Subtle Emphasis"/>
    <w:basedOn w:val="Policepardfaut"/>
    <w:uiPriority w:val="19"/>
    <w:qFormat/>
    <w:rsid w:val="00624275"/>
    <w:rPr>
      <w:i/>
      <w:iCs/>
    </w:rPr>
  </w:style>
  <w:style w:type="table" w:styleId="Trameclaire-Accent1">
    <w:name w:val="Light Shading Accent 1"/>
    <w:basedOn w:val="TableauNormal"/>
    <w:uiPriority w:val="60"/>
    <w:rsid w:val="00624275"/>
    <w:pPr>
      <w:spacing w:after="0" w:line="240" w:lineRule="auto"/>
    </w:pPr>
    <w:rPr>
      <w:rFonts w:eastAsiaTheme="minorEastAsia"/>
      <w:color w:val="2F5496" w:themeColor="accent1" w:themeShade="BF"/>
      <w:lang w:eastAsia="fr-F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En-tte">
    <w:name w:val="header"/>
    <w:basedOn w:val="Normal"/>
    <w:link w:val="En-tteCar"/>
    <w:uiPriority w:val="99"/>
    <w:unhideWhenUsed/>
    <w:rsid w:val="00624275"/>
    <w:pPr>
      <w:tabs>
        <w:tab w:val="center" w:pos="4536"/>
        <w:tab w:val="right" w:pos="9072"/>
      </w:tabs>
      <w:spacing w:before="0" w:after="0" w:line="240" w:lineRule="auto"/>
    </w:pPr>
  </w:style>
  <w:style w:type="character" w:customStyle="1" w:styleId="En-tteCar">
    <w:name w:val="En-tête Car"/>
    <w:basedOn w:val="Policepardfaut"/>
    <w:link w:val="En-tte"/>
    <w:uiPriority w:val="99"/>
    <w:rsid w:val="00624275"/>
    <w:rPr>
      <w:rFonts w:ascii="Calibri" w:eastAsia="Calibri" w:hAnsi="Calibri" w:cs="Calibri"/>
      <w:sz w:val="20"/>
      <w:szCs w:val="20"/>
      <w:lang w:eastAsia="fr-FR"/>
    </w:rPr>
  </w:style>
  <w:style w:type="paragraph" w:styleId="Pieddepage">
    <w:name w:val="footer"/>
    <w:basedOn w:val="Normal"/>
    <w:link w:val="PieddepageCar"/>
    <w:uiPriority w:val="99"/>
    <w:unhideWhenUsed/>
    <w:rsid w:val="00624275"/>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624275"/>
    <w:rPr>
      <w:rFonts w:ascii="Calibri" w:eastAsia="Calibri" w:hAnsi="Calibri" w:cs="Calibri"/>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erm.fr/information-en-sante/dossiers-information/proteomiqu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r.wikipedia.org/wiki/M&#233;thode_TAP" TargetMode="External"/><Relationship Id="rId4" Type="http://schemas.openxmlformats.org/officeDocument/2006/relationships/webSettings" Target="webSettings.xml"/><Relationship Id="rId9" Type="http://schemas.openxmlformats.org/officeDocument/2006/relationships/hyperlink" Target="http://ipubli-inserm.inist.fr/bitstream/handle/10608/5242/MS_2004_5_587.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538</Words>
  <Characters>2960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Truong</dc:creator>
  <cp:keywords/>
  <dc:description/>
  <cp:lastModifiedBy>Chloe Truong</cp:lastModifiedBy>
  <cp:revision>1</cp:revision>
  <dcterms:created xsi:type="dcterms:W3CDTF">2021-10-05T19:17:00Z</dcterms:created>
  <dcterms:modified xsi:type="dcterms:W3CDTF">2021-10-05T20:20:00Z</dcterms:modified>
</cp:coreProperties>
</file>