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76" w:lineRule="auto"/>
        <w:rPr>
          <w:smallCaps w:val="1"/>
          <w:color w:val="4472c4"/>
        </w:rPr>
      </w:pPr>
      <w:r w:rsidDel="00000000" w:rsidR="00000000" w:rsidRPr="00000000">
        <w:rPr>
          <w:smallCaps w:val="1"/>
          <w:color w:val="4472c4"/>
          <w:rtl w:val="0"/>
        </w:rPr>
        <w:t xml:space="preserve">Test Elisa </w:t>
      </w:r>
    </w:p>
    <w:p w:rsidR="00000000" w:rsidDel="00000000" w:rsidP="00000000" w:rsidRDefault="00000000" w:rsidRPr="00000000" w14:paraId="00000002">
      <w:pPr>
        <w:pStyle w:val="Heading1"/>
        <w:keepNext w:val="0"/>
        <w:keepLines w:val="0"/>
        <w:pBdr>
          <w:top w:color="4472c4" w:space="0" w:sz="24" w:val="single"/>
          <w:left w:color="4472c4" w:space="0" w:sz="24" w:val="single"/>
          <w:bottom w:color="4472c4" w:space="0" w:sz="24" w:val="single"/>
          <w:right w:color="4472c4" w:space="0" w:sz="24" w:val="single"/>
        </w:pBdr>
        <w:shd w:fill="4472c4" w:val="clear"/>
        <w:spacing w:after="0" w:before="100" w:line="276" w:lineRule="auto"/>
        <w:rPr>
          <w:rFonts w:ascii="Calibri" w:cs="Calibri" w:eastAsia="Calibri" w:hAnsi="Calibri"/>
          <w:smallCaps w:val="1"/>
          <w:color w:val="ffffff"/>
          <w:sz w:val="24"/>
          <w:szCs w:val="24"/>
        </w:rPr>
      </w:pPr>
      <w:r w:rsidDel="00000000" w:rsidR="00000000" w:rsidRPr="00000000">
        <w:rPr>
          <w:rFonts w:ascii="Calibri" w:cs="Calibri" w:eastAsia="Calibri" w:hAnsi="Calibri"/>
          <w:smallCaps w:val="1"/>
          <w:color w:val="ffffff"/>
          <w:sz w:val="24"/>
          <w:szCs w:val="24"/>
          <w:rtl w:val="0"/>
        </w:rPr>
        <w:t xml:space="preserve">Sciences en tête biologie-année 2020-2021</w:t>
      </w:r>
    </w:p>
    <w:p w:rsidR="00000000" w:rsidDel="00000000" w:rsidP="00000000" w:rsidRDefault="00000000" w:rsidRPr="00000000" w14:paraId="00000003">
      <w:pPr>
        <w:spacing w:after="200" w:before="1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Le test Elisa est une méthode utiliser dans le domaine de l’immunologie, elle permet de détecter la présence d’anticorps et d’antigènes dans un échantillon ainsi que sa concentration.</w:t>
      </w:r>
    </w:p>
    <w:p w:rsidR="00000000" w:rsidDel="00000000" w:rsidP="00000000" w:rsidRDefault="00000000" w:rsidRPr="00000000" w14:paraId="00000004">
      <w:pPr>
        <w:pStyle w:val="Heading2"/>
        <w:keepNext w:val="0"/>
        <w:keepLines w:val="0"/>
        <w:pBdr>
          <w:top w:color="d9e2f3" w:space="0" w:sz="24" w:val="single"/>
          <w:left w:color="d9e2f3" w:space="0" w:sz="24" w:val="single"/>
          <w:bottom w:color="d9e2f3" w:space="0" w:sz="24" w:val="single"/>
          <w:right w:color="d9e2f3" w:space="0" w:sz="24" w:val="single"/>
        </w:pBdr>
        <w:shd w:fill="d9e2f3" w:val="clear"/>
        <w:spacing w:after="0" w:before="100" w:line="276"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 Étapes du test Elisa</w:t>
      </w:r>
    </w:p>
    <w:p w:rsidR="00000000" w:rsidDel="00000000" w:rsidP="00000000" w:rsidRDefault="00000000" w:rsidRPr="00000000" w14:paraId="00000005">
      <w:pPr>
        <w:spacing w:after="200" w:before="100" w:line="276" w:lineRule="auto"/>
        <w:jc w:val="both"/>
        <w:rPr>
          <w:rFonts w:ascii="Calibri" w:cs="Calibri" w:eastAsia="Calibri" w:hAnsi="Calibri"/>
        </w:rPr>
      </w:pPr>
      <w:r w:rsidDel="00000000" w:rsidR="00000000" w:rsidRPr="00000000">
        <w:rPr>
          <w:rFonts w:ascii="Calibri" w:cs="Calibri" w:eastAsia="Calibri" w:hAnsi="Calibri"/>
          <w:rtl w:val="0"/>
        </w:rPr>
        <w:tab/>
        <w:t xml:space="preserve">Pour déterminer la présence d’anticorps spécifique, on dispose de puits qui contiennent au fond des antigènes déterminés. Tout d’abord nous mettons dans ces puits le sérum à tester, si dans ce sérum il y a la présence d’anticorps spécifique aux antigènes présents au fond, les anticorps vont se fixer sur les antigènes. Ensuite on rince et on met les anticorps traceurs qui ont une enzyme fixée. Ils vont se fixer sur les anticorps spécifiques puis on rince. Enfin on dépose une solution de substrat dans les puits, le substrat va ensuite se déposer sur l’enzyme ce qui va 1créer une réaction permettant une coloration. Lorsqu’on observe une coloration on peut donc déterminer qu’il y a eu la présence d’anticorps spécifique dans le sérum, s’il n’y a pas de coloration alors le sérum ne contient pas d’anticorps spécifiques. </w:t>
      </w:r>
    </w:p>
    <w:p w:rsidR="00000000" w:rsidDel="00000000" w:rsidP="00000000" w:rsidRDefault="00000000" w:rsidRPr="00000000" w14:paraId="00000006">
      <w:pPr>
        <w:spacing w:after="200" w:before="100" w:line="276" w:lineRule="auto"/>
        <w:jc w:val="both"/>
        <w:rPr>
          <w:rFonts w:ascii="Calibri" w:cs="Calibri" w:eastAsia="Calibri" w:hAnsi="Calibri"/>
        </w:rPr>
      </w:pPr>
      <w:r w:rsidDel="00000000" w:rsidR="00000000" w:rsidRPr="00000000">
        <w:rPr>
          <w:rFonts w:ascii="Calibri" w:cs="Calibri" w:eastAsia="Calibri" w:hAnsi="Calibri"/>
          <w:rtl w:val="0"/>
        </w:rPr>
        <w:tab/>
        <w:t xml:space="preserve">Pour déterminer la concentration d’anticorps, nous allons après avoir déterminé la présence d’anticorps observés à différentes concentrations le sérum pour mesurer la concentration. Pour cela nous allons observer la concentration des puits car plus la concentration et forte et plus la coloration sera prononcée.</w:t>
      </w:r>
    </w:p>
    <w:p w:rsidR="00000000" w:rsidDel="00000000" w:rsidP="00000000" w:rsidRDefault="00000000" w:rsidRPr="00000000" w14:paraId="00000007">
      <w:pPr>
        <w:spacing w:after="200" w:before="100" w:line="276"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114300</wp:posOffset>
            </wp:positionV>
            <wp:extent cx="2995613" cy="425106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95613" cy="4251068"/>
                    </a:xfrm>
                    <a:prstGeom prst="rect"/>
                    <a:ln/>
                  </pic:spPr>
                </pic:pic>
              </a:graphicData>
            </a:graphic>
          </wp:anchor>
        </w:drawing>
      </w:r>
    </w:p>
    <w:p w:rsidR="00000000" w:rsidDel="00000000" w:rsidP="00000000" w:rsidRDefault="00000000" w:rsidRPr="00000000" w14:paraId="00000008">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200" w:before="100" w:line="276" w:lineRule="auto"/>
        <w:jc w:val="both"/>
        <w:rPr>
          <w:rFonts w:ascii="Calibri" w:cs="Calibri" w:eastAsia="Calibri" w:hAnsi="Calibri"/>
        </w:rPr>
      </w:pPr>
      <w:r w:rsidDel="00000000" w:rsidR="00000000" w:rsidRPr="00000000">
        <w:rPr>
          <w:rFonts w:ascii="Calibri" w:cs="Calibri" w:eastAsia="Calibri" w:hAnsi="Calibri"/>
          <w:rtl w:val="0"/>
        </w:rPr>
        <w:t xml:space="preserve">Figure 1: Schéma représentant les étapes du test Elisa </w:t>
      </w:r>
    </w:p>
    <w:p w:rsidR="00000000" w:rsidDel="00000000" w:rsidP="00000000" w:rsidRDefault="00000000" w:rsidRPr="00000000" w14:paraId="0000000A">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00" w:before="1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Heading2"/>
        <w:keepNext w:val="0"/>
        <w:keepLines w:val="0"/>
        <w:pBdr>
          <w:top w:color="d9e2f3" w:space="0" w:sz="24" w:val="single"/>
          <w:left w:color="d9e2f3" w:space="0" w:sz="24" w:val="single"/>
          <w:bottom w:color="d9e2f3" w:space="0" w:sz="24" w:val="single"/>
          <w:right w:color="d9e2f3" w:space="0" w:sz="24" w:val="single"/>
        </w:pBdr>
        <w:shd w:fill="d9e2f3" w:val="clear"/>
        <w:spacing w:after="0" w:before="100" w:line="276" w:lineRule="auto"/>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2. Limite du test Elisa</w:t>
      </w:r>
    </w:p>
    <w:p w:rsidR="00000000" w:rsidDel="00000000" w:rsidP="00000000" w:rsidRDefault="00000000" w:rsidRPr="00000000" w14:paraId="00000015">
      <w:pPr>
        <w:spacing w:after="200" w:before="100" w:line="276" w:lineRule="auto"/>
        <w:ind w:firstLine="708"/>
        <w:jc w:val="both"/>
        <w:rPr>
          <w:rFonts w:ascii="Calibri" w:cs="Calibri" w:eastAsia="Calibri" w:hAnsi="Calibri"/>
        </w:rPr>
      </w:pPr>
      <w:r w:rsidDel="00000000" w:rsidR="00000000" w:rsidRPr="00000000">
        <w:rPr>
          <w:rFonts w:ascii="Calibri" w:cs="Calibri" w:eastAsia="Calibri" w:hAnsi="Calibri"/>
          <w:rtl w:val="0"/>
        </w:rPr>
        <w:t xml:space="preserve">Le test Elisa permet de déterminer un anticorps par échantillons alors que si on prend la méthode du Western Blot il permet de déterminer plusieurs cibles durant la manipulation.</w:t>
      </w:r>
    </w:p>
    <w:p w:rsidR="00000000" w:rsidDel="00000000" w:rsidP="00000000" w:rsidRDefault="00000000" w:rsidRPr="00000000" w14:paraId="00000016">
      <w:pPr>
        <w:pStyle w:val="Heading2"/>
        <w:keepNext w:val="0"/>
        <w:keepLines w:val="0"/>
        <w:pBdr>
          <w:top w:color="d9e2f3" w:space="0" w:sz="24" w:val="single"/>
          <w:left w:color="d9e2f3" w:space="0" w:sz="24" w:val="single"/>
          <w:bottom w:color="d9e2f3" w:space="0" w:sz="24" w:val="single"/>
          <w:right w:color="d9e2f3" w:space="0" w:sz="24" w:val="single"/>
        </w:pBdr>
        <w:shd w:fill="d9e2f3" w:val="clear"/>
        <w:spacing w:after="0" w:before="100" w:line="276" w:lineRule="auto"/>
        <w:rPr>
          <w:rFonts w:ascii="Calibri" w:cs="Calibri" w:eastAsia="Calibri" w:hAnsi="Calibri"/>
          <w:smallCaps w:val="1"/>
          <w:sz w:val="22"/>
          <w:szCs w:val="22"/>
        </w:rPr>
      </w:pPr>
      <w:bookmarkStart w:colFirst="0" w:colLast="0" w:name="_heading=h.gjdgxs" w:id="0"/>
      <w:bookmarkEnd w:id="0"/>
      <w:r w:rsidDel="00000000" w:rsidR="00000000" w:rsidRPr="00000000">
        <w:rPr>
          <w:rFonts w:ascii="Calibri" w:cs="Calibri" w:eastAsia="Calibri" w:hAnsi="Calibri"/>
          <w:smallCaps w:val="1"/>
          <w:sz w:val="22"/>
          <w:szCs w:val="22"/>
          <w:rtl w:val="0"/>
        </w:rPr>
        <w:t xml:space="preserve">Avantages et inconvénients</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tcBorders>
              <w:top w:color="0000ff" w:space="0" w:sz="8" w:val="single"/>
              <w:left w:color="0000ff" w:space="0" w:sz="8" w:val="single"/>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Avantages </w:t>
            </w:r>
          </w:p>
        </w:tc>
        <w:tc>
          <w:tcPr>
            <w:tcBorders>
              <w:top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Inconvénients</w:t>
            </w:r>
          </w:p>
        </w:tc>
      </w:tr>
      <w:tr>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Sensibilité élevée </w:t>
            </w:r>
          </w:p>
        </w:tc>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limitée en terme d’information</w:t>
            </w:r>
          </w:p>
        </w:tc>
      </w:tr>
      <w:tr>
        <w:trPr>
          <w:trHeight w:val="433.554687499999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Méthode facile et peu exigeante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Grand choix d’échantillon peut être testé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3">
      <w:pPr>
        <w:spacing w:after="200" w:before="1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Style w:val="Heading2"/>
        <w:keepNext w:val="0"/>
        <w:keepLines w:val="0"/>
        <w:pBdr>
          <w:top w:color="d9e2f3" w:space="0" w:sz="24" w:val="single"/>
          <w:left w:color="d9e2f3" w:space="0" w:sz="24" w:val="single"/>
          <w:bottom w:color="d9e2f3" w:space="0" w:sz="24" w:val="single"/>
          <w:right w:color="d9e2f3" w:space="0" w:sz="24" w:val="single"/>
        </w:pBdr>
        <w:shd w:fill="d9e2f3" w:val="clear"/>
        <w:spacing w:after="0" w:before="100" w:line="276" w:lineRule="auto"/>
        <w:rPr>
          <w:rFonts w:ascii="Calibri" w:cs="Calibri" w:eastAsia="Calibri" w:hAnsi="Calibri"/>
          <w:smallCaps w:val="1"/>
          <w:sz w:val="22"/>
          <w:szCs w:val="22"/>
        </w:rPr>
      </w:pPr>
      <w:bookmarkStart w:colFirst="0" w:colLast="0" w:name="_heading=h.30j0zll" w:id="1"/>
      <w:bookmarkEnd w:id="1"/>
      <w:r w:rsidDel="00000000" w:rsidR="00000000" w:rsidRPr="00000000">
        <w:rPr>
          <w:rFonts w:ascii="Calibri" w:cs="Calibri" w:eastAsia="Calibri" w:hAnsi="Calibri"/>
          <w:smallCaps w:val="1"/>
          <w:sz w:val="22"/>
          <w:szCs w:val="22"/>
          <w:rtl w:val="0"/>
        </w:rPr>
        <w:t xml:space="preserve">En savoir plus</w:t>
      </w:r>
    </w:p>
    <w:p w:rsidR="00000000" w:rsidDel="00000000" w:rsidP="00000000" w:rsidRDefault="00000000" w:rsidRPr="00000000" w14:paraId="00000025">
      <w:pPr>
        <w:spacing w:after="200" w:before="100" w:line="276" w:lineRule="auto"/>
        <w:ind w:firstLine="708"/>
        <w:jc w:val="both"/>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26">
      <w:pPr>
        <w:pStyle w:val="Heading2"/>
        <w:keepNext w:val="0"/>
        <w:keepLines w:val="0"/>
        <w:pBdr>
          <w:top w:color="d9e2f3" w:space="0" w:sz="24" w:val="single"/>
          <w:left w:color="d9e2f3" w:space="0" w:sz="24" w:val="single"/>
          <w:bottom w:color="d9e2f3" w:space="0" w:sz="24" w:val="single"/>
          <w:right w:color="d9e2f3" w:space="0" w:sz="24" w:val="single"/>
        </w:pBdr>
        <w:shd w:fill="d9e2f3" w:val="clear"/>
        <w:spacing w:after="0" w:before="100" w:line="276" w:lineRule="auto"/>
        <w:rPr>
          <w:rFonts w:ascii="Calibri" w:cs="Calibri" w:eastAsia="Calibri" w:hAnsi="Calibri"/>
          <w:smallCaps w:val="1"/>
          <w:sz w:val="22"/>
          <w:szCs w:val="22"/>
        </w:rPr>
      </w:pPr>
      <w:bookmarkStart w:colFirst="0" w:colLast="0" w:name="_heading=h.3znysh7" w:id="3"/>
      <w:bookmarkEnd w:id="3"/>
      <w:r w:rsidDel="00000000" w:rsidR="00000000" w:rsidRPr="00000000">
        <w:rPr>
          <w:rFonts w:ascii="Calibri" w:cs="Calibri" w:eastAsia="Calibri" w:hAnsi="Calibri"/>
          <w:smallCaps w:val="1"/>
          <w:sz w:val="22"/>
          <w:szCs w:val="22"/>
          <w:rtl w:val="0"/>
        </w:rPr>
        <w:t xml:space="preserve">Sources</w:t>
      </w:r>
    </w:p>
    <w:p w:rsidR="00000000" w:rsidDel="00000000" w:rsidP="00000000" w:rsidRDefault="00000000" w:rsidRPr="00000000" w14:paraId="00000027">
      <w:pPr>
        <w:spacing w:after="200" w:before="100" w:line="276" w:lineRule="auto"/>
        <w:rPr/>
      </w:pPr>
      <w:r w:rsidDel="00000000" w:rsidR="00000000" w:rsidRPr="00000000">
        <w:rPr>
          <w:rtl w:val="0"/>
        </w:rPr>
        <w:t xml:space="preserve">[1] </w:t>
      </w:r>
      <w:hyperlink r:id="rId8">
        <w:r w:rsidDel="00000000" w:rsidR="00000000" w:rsidRPr="00000000">
          <w:rPr>
            <w:color w:val="1155cc"/>
            <w:u w:val="single"/>
            <w:rtl w:val="0"/>
          </w:rPr>
          <w:t xml:space="preserve">https://www.youtube.com/watch?v=MzdFjAiryac&amp;ab_channel=SVTDELACROIX</w:t>
        </w:r>
      </w:hyperlink>
      <w:r w:rsidDel="00000000" w:rsidR="00000000" w:rsidRPr="00000000">
        <w:rPr>
          <w:rtl w:val="0"/>
        </w:rPr>
      </w:r>
    </w:p>
    <w:p w:rsidR="00000000" w:rsidDel="00000000" w:rsidP="00000000" w:rsidRDefault="00000000" w:rsidRPr="00000000" w14:paraId="00000028">
      <w:pPr>
        <w:spacing w:after="200" w:before="100" w:line="276" w:lineRule="auto"/>
        <w:rPr/>
      </w:pPr>
      <w:r w:rsidDel="00000000" w:rsidR="00000000" w:rsidRPr="00000000">
        <w:rPr>
          <w:rtl w:val="0"/>
        </w:rPr>
        <w:t xml:space="preserve">[2] </w:t>
      </w:r>
      <w:hyperlink r:id="rId9">
        <w:r w:rsidDel="00000000" w:rsidR="00000000" w:rsidRPr="00000000">
          <w:rPr>
            <w:color w:val="1155cc"/>
            <w:u w:val="single"/>
            <w:rtl w:val="0"/>
          </w:rPr>
          <w:t xml:space="preserve">https://fr.wikipedia.org/wiki/M%C3%A9thode_immuno-enzymatique_ELISA</w:t>
        </w:r>
      </w:hyperlink>
      <w:r w:rsidDel="00000000" w:rsidR="00000000" w:rsidRPr="00000000">
        <w:rPr>
          <w:rtl w:val="0"/>
        </w:rPr>
      </w:r>
    </w:p>
    <w:p w:rsidR="00000000" w:rsidDel="00000000" w:rsidP="00000000" w:rsidRDefault="00000000" w:rsidRPr="00000000" w14:paraId="00000029">
      <w:pPr>
        <w:spacing w:after="200" w:before="100" w:line="276" w:lineRule="auto"/>
        <w:rPr/>
      </w:pPr>
      <w:r w:rsidDel="00000000" w:rsidR="00000000" w:rsidRPr="00000000">
        <w:rPr>
          <w:rtl w:val="0"/>
        </w:rPr>
      </w:r>
    </w:p>
    <w:p w:rsidR="00000000" w:rsidDel="00000000" w:rsidP="00000000" w:rsidRDefault="00000000" w:rsidRPr="00000000" w14:paraId="0000002A">
      <w:pPr>
        <w:spacing w:after="200" w:before="100" w:line="276" w:lineRule="auto"/>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Chloe Truong</w:t>
    </w:r>
    <w:r w:rsidDel="00000000" w:rsidR="00000000" w:rsidRPr="00000000">
      <w:drawing>
        <wp:anchor allowOverlap="1" behindDoc="0" distB="0" distT="0" distL="114300" distR="114300" hidden="0" layoutInCell="1" locked="0" relativeHeight="0" simplePos="0">
          <wp:simplePos x="0" y="0"/>
          <wp:positionH relativeFrom="column">
            <wp:posOffset>-761998</wp:posOffset>
          </wp:positionH>
          <wp:positionV relativeFrom="paragraph">
            <wp:posOffset>-352423</wp:posOffset>
          </wp:positionV>
          <wp:extent cx="661820" cy="661820"/>
          <wp:effectExtent b="0" l="0" r="0" t="0"/>
          <wp:wrapNone/>
          <wp:docPr descr="Une image contenant pièce, dessin&#10;&#10;Description générée automatiquement" id="4" name="image1.png"/>
          <a:graphic>
            <a:graphicData uri="http://schemas.openxmlformats.org/drawingml/2006/picture">
              <pic:pic>
                <pic:nvPicPr>
                  <pic:cNvPr descr="Une image contenant pièce, dessin&#10;&#10;Description générée automatiquement" id="0" name="image1.png"/>
                  <pic:cNvPicPr preferRelativeResize="0"/>
                </pic:nvPicPr>
                <pic:blipFill>
                  <a:blip r:embed="rId1"/>
                  <a:srcRect b="0" l="0" r="0" t="0"/>
                  <a:stretch>
                    <a:fillRect/>
                  </a:stretch>
                </pic:blipFill>
                <pic:spPr>
                  <a:xfrm>
                    <a:off x="0" y="0"/>
                    <a:ext cx="661820" cy="661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r.wikipedia.org/wiki/M%C3%A9thode_immuno-enzymatique_ELI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MzdFjAiryac&amp;ab_channel=SVTDELACRO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KINpFjjOyI7MxUM4mI53yksw==">AMUW2mWzwa7Yl8/HR0sQSZq1+F3uUMbCk0kRRVdgBbeCm0R610wYNODvsNdRhZFOIUGB9y18DVH+ywcbD+tOzol0S2jmu1l5u80ZLi3ithLhjTr9RFopFZTqj7UkHfkIHUR9DKvSkkYw0tniAH7e0mv/0UZQgPt83xurCH4SUmjscrCd5x57M5g=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