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Times New Roman" w:cs="Times New Roman" w:eastAsia="Times New Roman" w:hAnsi="Times New Roman"/>
          <w:b w:val="1"/>
          <w:i w:val="0"/>
          <w:smallCaps w:val="0"/>
          <w:strike w:val="0"/>
          <w:color w:val="0f6fc6"/>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IMMUNOFLUORESCENCE    </w:t>
      </w:r>
      <w:r w:rsidDel="00000000" w:rsidR="00000000" w:rsidRPr="00000000">
        <w:rPr>
          <w:rFonts w:ascii="Times New Roman" w:cs="Times New Roman" w:eastAsia="Times New Roman" w:hAnsi="Times New Roman"/>
          <w:b w:val="1"/>
          <w:i w:val="0"/>
          <w:smallCaps w:val="0"/>
          <w:strike w:val="0"/>
          <w:color w:val="0f6fc6"/>
          <w:sz w:val="24"/>
          <w:szCs w:val="24"/>
          <w:u w:val="none"/>
          <w:shd w:fill="auto" w:val="clear"/>
          <w:vertAlign w:val="baseline"/>
          <w:rtl w:val="0"/>
        </w:rPr>
        <w:t xml:space="preserve">                                                                             PRINCIPES</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Cette méthode s’appuie sur la propriété qu’a un anticorps de se lier, de façon très spécifique, à un antigène. Elle permet de déterminer la localisation de cet antigène dans un tissu</w:t>
      </w:r>
      <w:r w:rsidDel="00000000" w:rsidR="00000000" w:rsidRPr="00000000">
        <w:rPr>
          <w:rFonts w:ascii="Times New Roman" w:cs="Times New Roman" w:eastAsia="Times New Roman" w:hAnsi="Times New Roman"/>
          <w:sz w:val="24"/>
          <w:szCs w:val="24"/>
          <w:rtl w:val="0"/>
        </w:rPr>
        <w:t xml:space="preserve">. Il existe deux méthodes </w:t>
      </w:r>
      <w:r w:rsidDel="00000000" w:rsidR="00000000" w:rsidRPr="00000000">
        <w:rPr>
          <w:rFonts w:ascii="Times New Roman" w:cs="Times New Roman" w:eastAsia="Times New Roman" w:hAnsi="Times New Roman"/>
          <w:sz w:val="24"/>
          <w:szCs w:val="24"/>
          <w:highlight w:val="white"/>
          <w:rtl w:val="0"/>
        </w:rPr>
        <w:t xml:space="preserve">d’immunofluorescence, directe et indirecte.</w:t>
      </w:r>
      <w:r w:rsidDel="00000000" w:rsidR="00000000" w:rsidRPr="00000000">
        <w:rPr>
          <w:rtl w:val="0"/>
        </w:rPr>
      </w:r>
    </w:p>
    <w:p w:rsidR="00000000" w:rsidDel="00000000" w:rsidP="00000000" w:rsidRDefault="00000000" w:rsidRPr="00000000" w14:paraId="00000003">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Times New Roman" w:cs="Times New Roman" w:eastAsia="Times New Roman" w:hAnsi="Times New Roman"/>
          <w:b w:val="1"/>
          <w:i w:val="0"/>
          <w:smallCaps w:val="0"/>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f6fc6"/>
          <w:sz w:val="24"/>
          <w:szCs w:val="24"/>
          <w:u w:val="none"/>
          <w:shd w:fill="auto" w:val="clear"/>
          <w:vertAlign w:val="baseline"/>
          <w:rtl w:val="0"/>
        </w:rPr>
        <w:t xml:space="preserve">DESCRIPTION </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2870200</wp:posOffset>
                </wp:positionH>
                <wp:positionV relativeFrom="paragraph">
                  <wp:posOffset>248920</wp:posOffset>
                </wp:positionV>
                <wp:extent cx="2886075" cy="2045735"/>
                <wp:effectExtent b="0" l="0" r="0" t="0"/>
                <wp:wrapSquare wrapText="bothSides" distB="45720" distT="45720" distL="114300" distR="114300"/>
                <wp:docPr id="225" name=""/>
                <a:graphic>
                  <a:graphicData uri="http://schemas.microsoft.com/office/word/2010/wordprocessingShape">
                    <wps:wsp>
                      <wps:cNvSpPr/>
                      <wps:cNvPr id="3" name="Shape 3"/>
                      <wps:spPr>
                        <a:xfrm>
                          <a:off x="3660000" y="2590050"/>
                          <a:ext cx="3372000" cy="23799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4"/>
                                <w:highlight w:val="white"/>
                                <w:vertAlign w:val="baseline"/>
                              </w:rPr>
                              <w:t xml:space="preserve">2. L'immunofluorescence indirecte:     </w:t>
                            </w:r>
                          </w:p>
                          <w:p w:rsidR="00000000" w:rsidDel="00000000" w:rsidP="00000000" w:rsidRDefault="00000000" w:rsidRPr="00000000">
                            <w:pPr>
                              <w:spacing w:after="200" w:before="0" w:line="275.9999942779541"/>
                              <w:ind w:left="0" w:right="0" w:firstLine="720"/>
                              <w:jc w:val="both"/>
                              <w:textDirection w:val="btLr"/>
                            </w:pPr>
                            <w:r w:rsidDel="00000000" w:rsidR="00000000" w:rsidRPr="00000000">
                              <w:rPr>
                                <w:rFonts w:ascii="Times New Roman" w:cs="Times New Roman" w:eastAsia="Times New Roman" w:hAnsi="Times New Roman"/>
                                <w:b w:val="1"/>
                                <w:i w:val="0"/>
                                <w:smallCaps w:val="0"/>
                                <w:strike w:val="0"/>
                                <w:color w:val="000000"/>
                                <w:sz w:val="24"/>
                                <w:highlight w:val="white"/>
                                <w:vertAlign w:val="baseline"/>
                              </w:rPr>
                            </w:r>
                            <w:r w:rsidDel="00000000" w:rsidR="00000000" w:rsidRPr="00000000">
                              <w:rPr>
                                <w:rFonts w:ascii="Times New Roman" w:cs="Times New Roman" w:eastAsia="Times New Roman" w:hAnsi="Times New Roman"/>
                                <w:b w:val="0"/>
                                <w:i w:val="0"/>
                                <w:smallCaps w:val="0"/>
                                <w:strike w:val="0"/>
                                <w:color w:val="000000"/>
                                <w:sz w:val="24"/>
                                <w:highlight w:val="white"/>
                                <w:vertAlign w:val="baseline"/>
                              </w:rPr>
                              <w:t xml:space="preserve">Cette méthode se fait en 2 étapes, elle implique deux types d'anticorps (AC) tels que les anticorps primaires et secondaires dans le marquage de l'antigène cible. L’'antigène cible est reconnu par l'AC primaire , lui-même reconnu par l'AC secondaire couplé au fluorophore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2870200</wp:posOffset>
                </wp:positionH>
                <wp:positionV relativeFrom="paragraph">
                  <wp:posOffset>248920</wp:posOffset>
                </wp:positionV>
                <wp:extent cx="2886075" cy="2045735"/>
                <wp:effectExtent b="0" l="0" r="0" t="0"/>
                <wp:wrapSquare wrapText="bothSides" distB="45720" distT="45720" distL="114300" distR="114300"/>
                <wp:docPr id="22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886075" cy="2045735"/>
                        </a:xfrm>
                        <a:prstGeom prst="rect"/>
                        <a:ln/>
                      </pic:spPr>
                    </pic:pic>
                  </a:graphicData>
                </a:graphic>
              </wp:anchor>
            </w:drawing>
          </mc:Fallback>
        </mc:AlternateContent>
      </w:r>
    </w:p>
    <w:p w:rsidR="00000000" w:rsidDel="00000000" w:rsidP="00000000" w:rsidRDefault="00000000" w:rsidRPr="00000000" w14:paraId="00000004">
      <w:pPr>
        <w:tabs>
          <w:tab w:val="left" w:pos="1362"/>
        </w:tabs>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134620</wp:posOffset>
                </wp:positionV>
                <wp:extent cx="3067050" cy="1339512"/>
                <wp:effectExtent b="0" l="0" r="0" t="0"/>
                <wp:wrapSquare wrapText="bothSides" distB="45720" distT="45720" distL="114300" distR="114300"/>
                <wp:docPr id="224" name=""/>
                <a:graphic>
                  <a:graphicData uri="http://schemas.microsoft.com/office/word/2010/wordprocessingShape">
                    <wps:wsp>
                      <wps:cNvSpPr/>
                      <wps:cNvPr id="2" name="Shape 2"/>
                      <wps:spPr>
                        <a:xfrm>
                          <a:off x="3339300" y="3083400"/>
                          <a:ext cx="4013400" cy="1393200"/>
                        </a:xfrm>
                        <a:prstGeom prst="rect">
                          <a:avLst/>
                        </a:prstGeom>
                        <a:solidFill>
                          <a:srgbClr val="FFFFFF"/>
                        </a:solidFill>
                        <a:ln>
                          <a:noFill/>
                        </a:ln>
                      </wps:spPr>
                      <wps:txbx>
                        <w:txbxContent>
                          <w:p w:rsidR="00000000" w:rsidDel="00000000" w:rsidP="00000000" w:rsidRDefault="00000000" w:rsidRPr="00000000">
                            <w:pPr>
                              <w:spacing w:after="0" w:before="71.99999809265137" w:line="275.9999942779541"/>
                              <w:ind w:left="720" w:right="0" w:firstLine="1080"/>
                              <w:jc w:val="left"/>
                              <w:textDirection w:val="btLr"/>
                            </w:pPr>
                            <w:r w:rsidDel="00000000" w:rsidR="00000000" w:rsidRPr="00000000">
                              <w:rPr>
                                <w:rFonts w:ascii="Times New Roman" w:cs="Times New Roman" w:eastAsia="Times New Roman" w:hAnsi="Times New Roman"/>
                                <w:b w:val="1"/>
                                <w:i w:val="0"/>
                                <w:smallCaps w:val="0"/>
                                <w:strike w:val="0"/>
                                <w:color w:val="222222"/>
                                <w:sz w:val="24"/>
                                <w:highlight w:val="white"/>
                                <w:vertAlign w:val="baseline"/>
                              </w:rPr>
                              <w:t xml:space="preserve">L’ immunofluorescence</w:t>
                            </w:r>
                            <w:r w:rsidDel="00000000" w:rsidR="00000000" w:rsidRPr="00000000">
                              <w:rPr>
                                <w:rFonts w:ascii="Times New Roman" w:cs="Times New Roman" w:eastAsia="Times New Roman" w:hAnsi="Times New Roman"/>
                                <w:b w:val="1"/>
                                <w:i w:val="0"/>
                                <w:smallCaps w:val="0"/>
                                <w:strike w:val="0"/>
                                <w:color w:val="333333"/>
                                <w:sz w:val="24"/>
                                <w:highlight w:val="white"/>
                                <w:vertAlign w:val="baseline"/>
                              </w:rPr>
                              <w:t xml:space="preserve"> directe: </w:t>
                            </w:r>
                            <w:r w:rsidDel="00000000" w:rsidR="00000000" w:rsidRPr="00000000">
                              <w:rPr>
                                <w:rFonts w:ascii="Times New Roman" w:cs="Times New Roman" w:eastAsia="Times New Roman" w:hAnsi="Times New Roman"/>
                                <w:b w:val="1"/>
                                <w:i w:val="0"/>
                                <w:smallCaps w:val="0"/>
                                <w:strike w:val="0"/>
                                <w:color w:val="222222"/>
                                <w:sz w:val="24"/>
                                <w:highlight w:val="white"/>
                                <w:vertAlign w:val="baseline"/>
                              </w:rPr>
                              <w:t xml:space="preserve">    </w:t>
                            </w:r>
                          </w:p>
                          <w:p w:rsidR="00000000" w:rsidDel="00000000" w:rsidP="00000000" w:rsidRDefault="00000000" w:rsidRPr="00000000">
                            <w:pPr>
                              <w:spacing w:after="0" w:before="71.99999809265137" w:line="275.9999942779541"/>
                              <w:ind w:left="360" w:right="0" w:firstLine="360"/>
                              <w:jc w:val="left"/>
                              <w:textDirection w:val="btLr"/>
                            </w:pPr>
                            <w:r w:rsidDel="00000000" w:rsidR="00000000" w:rsidRPr="00000000">
                              <w:rPr>
                                <w:rFonts w:ascii="Times New Roman" w:cs="Times New Roman" w:eastAsia="Times New Roman" w:hAnsi="Times New Roman"/>
                                <w:b w:val="1"/>
                                <w:i w:val="0"/>
                                <w:smallCaps w:val="0"/>
                                <w:strike w:val="0"/>
                                <w:color w:val="222222"/>
                                <w:sz w:val="24"/>
                                <w:highlight w:val="white"/>
                                <w:vertAlign w:val="baseline"/>
                              </w:rPr>
                            </w:r>
                            <w:r w:rsidDel="00000000" w:rsidR="00000000" w:rsidRPr="00000000">
                              <w:rPr>
                                <w:rFonts w:ascii="Times New Roman" w:cs="Times New Roman" w:eastAsia="Times New Roman" w:hAnsi="Times New Roman"/>
                                <w:b w:val="0"/>
                                <w:i w:val="0"/>
                                <w:smallCaps w:val="0"/>
                                <w:strike w:val="0"/>
                                <w:color w:val="333333"/>
                                <w:sz w:val="24"/>
                                <w:highlight w:val="whit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highlight w:val="white"/>
                                <w:vertAlign w:val="baseline"/>
                              </w:rPr>
                              <w:t xml:space="preserve">	 Un seul anticorps (anticorps primaire) qui  est utilisé qui est directement couplé au fluorophore. Lors de la liaison de l'anticorps avec l'antigène cible, le fluorophore émet une fluorescence pouvant être détectée par un microscope à fluorescence.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134620</wp:posOffset>
                </wp:positionV>
                <wp:extent cx="3067050" cy="1339512"/>
                <wp:effectExtent b="0" l="0" r="0" t="0"/>
                <wp:wrapSquare wrapText="bothSides" distB="45720" distT="45720" distL="114300" distR="114300"/>
                <wp:docPr id="22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067050" cy="1339512"/>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-203199</wp:posOffset>
                </wp:positionH>
                <wp:positionV relativeFrom="paragraph">
                  <wp:posOffset>1353820</wp:posOffset>
                </wp:positionV>
                <wp:extent cx="1151255" cy="1490980"/>
                <wp:effectExtent b="0" l="0" r="0" t="0"/>
                <wp:wrapSquare wrapText="bothSides" distB="45720" distT="45720" distL="114300" distR="114300"/>
                <wp:docPr id="227" name=""/>
                <a:graphic>
                  <a:graphicData uri="http://schemas.microsoft.com/office/word/2010/wordprocessingShape">
                    <wps:wsp>
                      <wps:cNvSpPr/>
                      <wps:cNvPr id="5" name="Shape 5"/>
                      <wps:spPr>
                        <a:xfrm>
                          <a:off x="4779898" y="3044035"/>
                          <a:ext cx="1132205" cy="147193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Fig. 1:</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Immunofluo-rescence directe (Wikipédia)</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-203199</wp:posOffset>
                </wp:positionH>
                <wp:positionV relativeFrom="paragraph">
                  <wp:posOffset>1353820</wp:posOffset>
                </wp:positionV>
                <wp:extent cx="1151255" cy="1490980"/>
                <wp:effectExtent b="0" l="0" r="0" t="0"/>
                <wp:wrapSquare wrapText="bothSides" distB="45720" distT="45720" distL="114300" distR="114300"/>
                <wp:docPr id="227"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151255" cy="149098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2870200</wp:posOffset>
                </wp:positionH>
                <wp:positionV relativeFrom="paragraph">
                  <wp:posOffset>1620520</wp:posOffset>
                </wp:positionV>
                <wp:extent cx="1285875" cy="1343025"/>
                <wp:effectExtent b="0" l="0" r="0" t="0"/>
                <wp:wrapSquare wrapText="bothSides" distB="45720" distT="45720" distL="114300" distR="114300"/>
                <wp:docPr id="226" name=""/>
                <a:graphic>
                  <a:graphicData uri="http://schemas.microsoft.com/office/word/2010/wordprocessingShape">
                    <wps:wsp>
                      <wps:cNvSpPr/>
                      <wps:cNvPr id="4" name="Shape 4"/>
                      <wps:spPr>
                        <a:xfrm>
                          <a:off x="4711635" y="2960850"/>
                          <a:ext cx="1268730" cy="163830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Fig. 2:</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Immunofluo-rescence indirecte (Wikipédia)</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2870200</wp:posOffset>
                </wp:positionH>
                <wp:positionV relativeFrom="paragraph">
                  <wp:posOffset>1620520</wp:posOffset>
                </wp:positionV>
                <wp:extent cx="1285875" cy="1343025"/>
                <wp:effectExtent b="0" l="0" r="0" t="0"/>
                <wp:wrapSquare wrapText="bothSides" distB="45720" distT="45720" distL="114300" distR="114300"/>
                <wp:docPr id="226"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285875" cy="13430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1104900</wp:posOffset>
            </wp:positionH>
            <wp:positionV relativeFrom="paragraph">
              <wp:posOffset>1485900</wp:posOffset>
            </wp:positionV>
            <wp:extent cx="1546225" cy="1471930"/>
            <wp:effectExtent b="0" l="0" r="0" t="0"/>
            <wp:wrapNone/>
            <wp:docPr id="228" name="image1.png"/>
            <a:graphic>
              <a:graphicData uri="http://schemas.openxmlformats.org/drawingml/2006/picture">
                <pic:pic>
                  <pic:nvPicPr>
                    <pic:cNvPr id="0" name="image1.png"/>
                    <pic:cNvPicPr preferRelativeResize="0"/>
                  </pic:nvPicPr>
                  <pic:blipFill>
                    <a:blip r:embed="rId13"/>
                    <a:srcRect b="0" l="0" r="2732" t="23140"/>
                    <a:stretch>
                      <a:fillRect/>
                    </a:stretch>
                  </pic:blipFill>
                  <pic:spPr>
                    <a:xfrm>
                      <a:off x="0" y="0"/>
                      <a:ext cx="1546225" cy="14719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4362450</wp:posOffset>
            </wp:positionH>
            <wp:positionV relativeFrom="paragraph">
              <wp:posOffset>1533525</wp:posOffset>
            </wp:positionV>
            <wp:extent cx="1543050" cy="1477982"/>
            <wp:effectExtent b="0" l="0" r="0" t="0"/>
            <wp:wrapNone/>
            <wp:docPr id="229"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543050" cy="1477982"/>
                    </a:xfrm>
                    <a:prstGeom prst="rect"/>
                    <a:ln/>
                  </pic:spPr>
                </pic:pic>
              </a:graphicData>
            </a:graphic>
          </wp:anchor>
        </w:drawing>
      </w:r>
    </w:p>
    <w:p w:rsidR="00000000" w:rsidDel="00000000" w:rsidP="00000000" w:rsidRDefault="00000000" w:rsidRPr="00000000" w14:paraId="00000005">
      <w:pPr>
        <w:tabs>
          <w:tab w:val="left" w:pos="1362"/>
        </w:tabs>
        <w:rPr/>
      </w:pPr>
      <w:r w:rsidDel="00000000" w:rsidR="00000000" w:rsidRPr="00000000">
        <w:rPr>
          <w:rtl w:val="0"/>
        </w:rPr>
      </w:r>
    </w:p>
    <w:p w:rsidR="00000000" w:rsidDel="00000000" w:rsidP="00000000" w:rsidRDefault="00000000" w:rsidRPr="00000000" w14:paraId="00000006">
      <w:pPr>
        <w:tabs>
          <w:tab w:val="left" w:pos="136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tabs>
          <w:tab w:val="left" w:pos="136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tabs>
          <w:tab w:val="left" w:pos="1362"/>
        </w:tabs>
        <w:jc w:val="both"/>
        <w:rPr>
          <w:rFonts w:ascii="Times New Roman" w:cs="Times New Roman" w:eastAsia="Times New Roman" w:hAnsi="Times New Roman"/>
          <w:color w:val="222222"/>
          <w:sz w:val="24"/>
          <w:szCs w:val="24"/>
          <w:highlight w:val="white"/>
        </w:rPr>
      </w:pPr>
      <w:r w:rsidDel="00000000" w:rsidR="00000000" w:rsidRPr="00000000">
        <w:rPr>
          <w:rtl w:val="0"/>
        </w:rPr>
      </w:r>
    </w:p>
    <w:tbl>
      <w:tblPr>
        <w:tblStyle w:val="Table1"/>
        <w:tblW w:w="972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71"/>
        <w:gridCol w:w="4854"/>
        <w:tblGridChange w:id="0">
          <w:tblGrid>
            <w:gridCol w:w="4871"/>
            <w:gridCol w:w="4854"/>
          </w:tblGrid>
        </w:tblGridChange>
      </w:tblGrid>
      <w:tr>
        <w:trPr>
          <w:trHeight w:val="420" w:hRule="atLeast"/>
        </w:trPr>
        <w:tc>
          <w:tcPr>
            <w:shd w:fill="e7e6e6" w:val="clear"/>
            <w:vAlign w:val="center"/>
          </w:tcPr>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5b9bd5"/>
                <w:sz w:val="24"/>
                <w:szCs w:val="24"/>
                <w:rtl w:val="0"/>
              </w:rPr>
              <w:t xml:space="preserve">AVANTAGES</w:t>
            </w:r>
            <w:r w:rsidDel="00000000" w:rsidR="00000000" w:rsidRPr="00000000">
              <w:rPr>
                <w:rtl w:val="0"/>
              </w:rPr>
            </w:r>
          </w:p>
        </w:tc>
        <w:tc>
          <w:tcPr>
            <w:shd w:fill="e7e6e6" w:val="clear"/>
            <w:vAlign w:val="center"/>
          </w:tcPr>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5b9bd5"/>
                <w:sz w:val="24"/>
                <w:szCs w:val="24"/>
                <w:rtl w:val="0"/>
              </w:rPr>
              <w:t xml:space="preserve">INCONVENIENTS</w:t>
            </w:r>
            <w:r w:rsidDel="00000000" w:rsidR="00000000" w:rsidRPr="00000000">
              <w:rPr>
                <w:rFonts w:ascii="Times New Roman" w:cs="Times New Roman" w:eastAsia="Times New Roman" w:hAnsi="Times New Roman"/>
                <w:b w:val="1"/>
                <w:sz w:val="24"/>
                <w:szCs w:val="24"/>
                <w:rtl w:val="0"/>
              </w:rPr>
              <w:t xml:space="preserve">*</w:t>
            </w:r>
          </w:p>
        </w:tc>
      </w:tr>
      <w:tr>
        <w:trPr>
          <w:trHeight w:val="640" w:hRule="atLeast"/>
        </w:trPr>
        <w:tc>
          <w:tcPr>
            <w:shd w:fill="e7e6e6" w:val="clear"/>
            <w:vAlign w:val="center"/>
          </w:tcPr>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Possibilité de marquages multiples sur un même échantillons de cellules (sur coupes </w:t>
            </w:r>
            <w:r w:rsidDel="00000000" w:rsidR="00000000" w:rsidRPr="00000000">
              <w:rPr>
                <w:rFonts w:ascii="Times New Roman" w:cs="Times New Roman" w:eastAsia="Times New Roman" w:hAnsi="Times New Roman"/>
                <w:rtl w:val="0"/>
              </w:rPr>
              <w:t xml:space="preserve">fines de tissus)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utilisant différents </w:t>
            </w:r>
            <w:r w:rsidDel="00000000" w:rsidR="00000000" w:rsidRPr="00000000">
              <w:rPr>
                <w:rFonts w:ascii="Times New Roman" w:cs="Times New Roman" w:eastAsia="Times New Roman" w:hAnsi="Times New Roman"/>
                <w:rtl w:val="0"/>
              </w:rPr>
              <w:t xml:space="preserve">fluorophores</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Rapide et facile </w:t>
            </w:r>
          </w:p>
        </w:tc>
        <w:tc>
          <w:tcPr>
            <w:shd w:fill="e7e6e6" w:val="clear"/>
            <w:vAlign w:val="center"/>
          </w:tcPr>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sdt>
              <w:sdtPr>
                <w:tag w:val="goog_rdk_0"/>
              </w:sdtPr>
              <w:sdtContent>
                <w:commentRangeStart w:id="0"/>
              </w:sdtContent>
            </w:sd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aux positif ou faux négatif </w:t>
            </w:r>
            <w:commentRangeEnd w:id="0"/>
            <w:r w:rsidDel="00000000" w:rsidR="00000000" w:rsidRPr="00000000">
              <w:commentReference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 résultat obtenu n’est pas conforme à la réalité</w:t>
            </w:r>
            <w:r w:rsidDel="00000000" w:rsidR="00000000" w:rsidRPr="00000000">
              <w:rPr>
                <w:rFonts w:ascii="Times New Roman" w:cs="Times New Roman" w:eastAsia="Times New Roman" w:hAnsi="Times New Roman"/>
                <w:rtl w:val="0"/>
              </w:rPr>
              <w:t xml:space="preserve">, difficultés techniques, de calibration de la méthode ou d’interprétation</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Photo-blanchiment : les fluorophores peuvent arrêter d’émettre de la fluorescence et donc fausser les résultats</w:t>
            </w:r>
          </w:p>
        </w:tc>
      </w:tr>
      <w:tr>
        <w:trPr>
          <w:trHeight w:val="120" w:hRule="atLeast"/>
        </w:trPr>
        <w:tc>
          <w:tcPr>
            <w:shd w:fill="e7e6e6" w:val="clear"/>
            <w:vAlign w:val="center"/>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tc>
        <w:tc>
          <w:tcPr>
            <w:shd w:fill="e7e6e6" w:val="clear"/>
            <w:vAlign w:val="center"/>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11">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Times New Roman" w:cs="Times New Roman" w:eastAsia="Times New Roman" w:hAnsi="Times New Roman"/>
          <w:b w:val="1"/>
          <w:i w:val="0"/>
          <w:smallCaps w:val="0"/>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f6fc6"/>
          <w:sz w:val="24"/>
          <w:szCs w:val="24"/>
          <w:u w:val="none"/>
          <w:shd w:fill="auto" w:val="clear"/>
          <w:vertAlign w:val="baseline"/>
          <w:rtl w:val="0"/>
        </w:rPr>
        <w:t xml:space="preserve">APPLICATIONS</w:t>
      </w: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Utilisée en diagnostic médical (bactériologie, virologie, anatomie pathologie), en recherche fondamentale (étude de la localisation cellulaire ou tissulaire de protéines, hybridation moléculaire...)                                                                                                                                  </w:t>
      </w:r>
    </w:p>
    <w:p w:rsidR="00000000" w:rsidDel="00000000" w:rsidP="00000000" w:rsidRDefault="00000000" w:rsidRPr="00000000" w14:paraId="00000013">
      <w:pP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color w:val="0f6fc6"/>
          <w:sz w:val="24"/>
          <w:szCs w:val="24"/>
          <w:rtl w:val="0"/>
        </w:rPr>
        <w:t xml:space="preserve">INFORMATIONS COMPLEMENTAIRES</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Pour limiter des erreurs, un</w:t>
      </w:r>
      <w:sdt>
        <w:sdtPr>
          <w:tag w:val="goog_rdk_1"/>
        </w:sdtPr>
        <w:sdtContent>
          <w:commentRangeStart w:id="1"/>
        </w:sdtContent>
      </w:sdt>
      <w:r w:rsidDel="00000000" w:rsidR="00000000" w:rsidRPr="00000000">
        <w:rPr>
          <w:rFonts w:ascii="Times New Roman" w:cs="Times New Roman" w:eastAsia="Times New Roman" w:hAnsi="Times New Roman"/>
          <w:rtl w:val="0"/>
        </w:rPr>
        <w:t xml:space="preserve"> témoin négatif (</w:t>
      </w:r>
      <w:r w:rsidDel="00000000" w:rsidR="00000000" w:rsidRPr="00000000">
        <w:rPr>
          <w:rFonts w:ascii="Times New Roman" w:cs="Times New Roman" w:eastAsia="Times New Roman" w:hAnsi="Times New Roman"/>
          <w:highlight w:val="white"/>
          <w:rtl w:val="0"/>
        </w:rPr>
        <w:t xml:space="preserve">les anticorps secondaires marqués sont en contact avec l’échantillon à analyser) </w:t>
      </w:r>
      <w:r w:rsidDel="00000000" w:rsidR="00000000" w:rsidRPr="00000000">
        <w:rPr>
          <w:rFonts w:ascii="Times New Roman" w:cs="Times New Roman" w:eastAsia="Times New Roman" w:hAnsi="Times New Roman"/>
          <w:rtl w:val="0"/>
        </w:rPr>
        <w:t xml:space="preserve">est réalisé pour l’immunofluorescence indirecte</w:t>
      </w:r>
      <w:commentRangeEnd w:id="1"/>
      <w:r w:rsidDel="00000000" w:rsidR="00000000" w:rsidRPr="00000000">
        <w:commentReference w:id="1"/>
      </w:r>
      <w:r w:rsidDel="00000000" w:rsidR="00000000" w:rsidRPr="00000000">
        <w:rPr>
          <w:rFonts w:ascii="Times New Roman" w:cs="Times New Roman" w:eastAsia="Times New Roman" w:hAnsi="Times New Roman"/>
          <w:rtl w:val="0"/>
        </w:rPr>
        <w:t xml:space="preserve">. De plus, les analyses sont généralement doublées. L’utilisation de caméra haute résolution et haute sensibilité atténue le photoblanchiment et permet une étude quantitative de l’acquisition.</w:t>
      </w:r>
    </w:p>
    <w:sectPr>
      <w:pgSz w:h="16838" w:w="11906"/>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tine Thomas" w:id="1" w:date="2019-10-05T18:44:14Z">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expliciter ce qu'est ce témoin négatif</w:t>
      </w:r>
    </w:p>
  </w:comment>
  <w:comment w:author="Martine Thomas" w:id="0" w:date="2019-10-05T18:42:02Z">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expliquer pourquoi</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4" w15:done="0"/>
  <w15:commentEx w15:paraId="0000001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C370E"/>
    <w:pPr>
      <w:spacing w:after="200" w:line="276" w:lineRule="auto"/>
    </w:pPr>
    <w:rPr>
      <w:rFonts w:eastAsiaTheme="minorEastAsia"/>
      <w:lang w:eastAsia="zh-CN" w:val="en-US"/>
    </w:rPr>
  </w:style>
  <w:style w:type="paragraph" w:styleId="Titre1">
    <w:name w:val="heading 1"/>
    <w:basedOn w:val="Normal"/>
    <w:next w:val="Normal"/>
    <w:link w:val="Titre1Car"/>
    <w:uiPriority w:val="9"/>
    <w:qFormat w:val="1"/>
    <w:rsid w:val="00D722D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itre2">
    <w:name w:val="heading 2"/>
    <w:basedOn w:val="Normal"/>
    <w:next w:val="Normal"/>
    <w:link w:val="Titre2Car"/>
    <w:uiPriority w:val="9"/>
    <w:unhideWhenUsed w:val="1"/>
    <w:qFormat w:val="1"/>
    <w:rsid w:val="003C370E"/>
    <w:pPr>
      <w:keepNext w:val="1"/>
      <w:keepLines w:val="1"/>
      <w:spacing w:after="0" w:before="200"/>
      <w:outlineLvl w:val="1"/>
    </w:pPr>
    <w:rPr>
      <w:rFonts w:asciiTheme="majorHAnsi" w:cstheme="majorBidi" w:eastAsiaTheme="majorEastAsia" w:hAnsiTheme="majorHAnsi"/>
      <w:b w:val="1"/>
      <w:bCs w:val="1"/>
      <w:color w:val="4472c4" w:themeColor="accent1"/>
      <w:sz w:val="26"/>
      <w:szCs w:val="26"/>
    </w:rPr>
  </w:style>
  <w:style w:type="paragraph" w:styleId="Titre3">
    <w:name w:val="heading 3"/>
    <w:basedOn w:val="Normal"/>
    <w:next w:val="Normal"/>
    <w:link w:val="Titre3Car"/>
    <w:uiPriority w:val="9"/>
    <w:unhideWhenUsed w:val="1"/>
    <w:qFormat w:val="1"/>
    <w:rsid w:val="006B02E2"/>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2Car" w:customStyle="1">
    <w:name w:val="Titre 2 Car"/>
    <w:basedOn w:val="Policepardfaut"/>
    <w:link w:val="Titre2"/>
    <w:uiPriority w:val="9"/>
    <w:rsid w:val="003C370E"/>
    <w:rPr>
      <w:rFonts w:asciiTheme="majorHAnsi" w:cstheme="majorBidi" w:eastAsiaTheme="majorEastAsia" w:hAnsiTheme="majorHAnsi"/>
      <w:b w:val="1"/>
      <w:bCs w:val="1"/>
      <w:color w:val="4472c4" w:themeColor="accent1"/>
      <w:sz w:val="26"/>
      <w:szCs w:val="26"/>
      <w:lang w:eastAsia="zh-CN" w:val="en-US"/>
    </w:rPr>
  </w:style>
  <w:style w:type="table" w:styleId="Grilledutableau">
    <w:name w:val="Table Grid"/>
    <w:basedOn w:val="TableauNormal"/>
    <w:uiPriority w:val="59"/>
    <w:rsid w:val="003C370E"/>
    <w:pPr>
      <w:spacing w:after="0" w:line="240" w:lineRule="auto"/>
    </w:pPr>
    <w:rPr>
      <w:rFonts w:eastAsiaTheme="minorEastAsia"/>
      <w:lang w:eastAsia="zh-CN"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3C370E"/>
    <w:pPr>
      <w:ind w:left="720"/>
      <w:contextualSpacing w:val="1"/>
    </w:pPr>
  </w:style>
  <w:style w:type="paragraph" w:styleId="Lgende">
    <w:name w:val="caption"/>
    <w:basedOn w:val="Normal"/>
    <w:next w:val="Normal"/>
    <w:uiPriority w:val="35"/>
    <w:unhideWhenUsed w:val="1"/>
    <w:qFormat w:val="1"/>
    <w:rsid w:val="003C370E"/>
    <w:pPr>
      <w:spacing w:line="240" w:lineRule="auto"/>
    </w:pPr>
    <w:rPr>
      <w:i w:val="1"/>
      <w:iCs w:val="1"/>
      <w:color w:val="44546a" w:themeColor="text2"/>
      <w:sz w:val="18"/>
      <w:szCs w:val="18"/>
    </w:rPr>
  </w:style>
  <w:style w:type="paragraph" w:styleId="En-tte">
    <w:name w:val="header"/>
    <w:basedOn w:val="Normal"/>
    <w:link w:val="En-tteCar"/>
    <w:uiPriority w:val="99"/>
    <w:unhideWhenUsed w:val="1"/>
    <w:rsid w:val="003C370E"/>
    <w:pPr>
      <w:tabs>
        <w:tab w:val="center" w:pos="4536"/>
        <w:tab w:val="right" w:pos="9072"/>
      </w:tabs>
      <w:spacing w:after="0" w:line="240" w:lineRule="auto"/>
    </w:pPr>
  </w:style>
  <w:style w:type="character" w:styleId="En-tteCar" w:customStyle="1">
    <w:name w:val="En-tête Car"/>
    <w:basedOn w:val="Policepardfaut"/>
    <w:link w:val="En-tte"/>
    <w:uiPriority w:val="99"/>
    <w:rsid w:val="003C370E"/>
    <w:rPr>
      <w:rFonts w:eastAsiaTheme="minorEastAsia"/>
      <w:lang w:eastAsia="zh-CN" w:val="en-US"/>
    </w:rPr>
  </w:style>
  <w:style w:type="paragraph" w:styleId="Pieddepage">
    <w:name w:val="footer"/>
    <w:basedOn w:val="Normal"/>
    <w:link w:val="PieddepageCar"/>
    <w:uiPriority w:val="99"/>
    <w:unhideWhenUsed w:val="1"/>
    <w:rsid w:val="003C370E"/>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C370E"/>
    <w:rPr>
      <w:rFonts w:eastAsiaTheme="minorEastAsia"/>
      <w:lang w:eastAsia="zh-CN" w:val="en-US"/>
    </w:rPr>
  </w:style>
  <w:style w:type="character" w:styleId="Titre3Car" w:customStyle="1">
    <w:name w:val="Titre 3 Car"/>
    <w:basedOn w:val="Policepardfaut"/>
    <w:link w:val="Titre3"/>
    <w:uiPriority w:val="9"/>
    <w:rsid w:val="006B02E2"/>
    <w:rPr>
      <w:rFonts w:asciiTheme="majorHAnsi" w:cstheme="majorBidi" w:eastAsiaTheme="majorEastAsia" w:hAnsiTheme="majorHAnsi"/>
      <w:color w:val="1f3763" w:themeColor="accent1" w:themeShade="00007F"/>
      <w:sz w:val="24"/>
      <w:szCs w:val="24"/>
      <w:lang w:eastAsia="zh-CN" w:val="en-US"/>
    </w:rPr>
  </w:style>
  <w:style w:type="character" w:styleId="Titre1Car" w:customStyle="1">
    <w:name w:val="Titre 1 Car"/>
    <w:basedOn w:val="Policepardfaut"/>
    <w:link w:val="Titre1"/>
    <w:uiPriority w:val="9"/>
    <w:rsid w:val="00D722D7"/>
    <w:rPr>
      <w:rFonts w:asciiTheme="majorHAnsi" w:cstheme="majorBidi" w:eastAsiaTheme="majorEastAsia" w:hAnsiTheme="majorHAnsi"/>
      <w:color w:val="2f5496" w:themeColor="accent1" w:themeShade="0000BF"/>
      <w:sz w:val="32"/>
      <w:szCs w:val="32"/>
      <w:lang w:eastAsia="zh-CN" w:val="en-US"/>
    </w:rPr>
  </w:style>
  <w:style w:type="character" w:styleId="Lienhypertexte">
    <w:name w:val="Hyperlink"/>
    <w:basedOn w:val="Policepardfaut"/>
    <w:uiPriority w:val="99"/>
    <w:semiHidden w:val="1"/>
    <w:unhideWhenUsed w:val="1"/>
    <w:rsid w:val="00500145"/>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4"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cYQaYKHnVnFe1GBhPjr76p2gJA==">AMUW2mWf3zbuWSNrqrQp8ffVmOWPcPva8VDFppT8ShEeTw3/3FyBgIfIB2FzAFuZdnzK55PTO9HFiH75erGQHmxVBJVoEJedhbuGCaTOF6iUv33SV+aDLO4G/Lymv7edR3feP7AE3amHdwKK1SGe/G0c+J8L7KM0NK0eeVgPiVpuauniEBsmPS5JVtaphw5JDi+hnUm2velmQ6PDer9vr1PSIaKM/vZa8CFFDg476IIjGLCvg9UDhctIUDhApsHXL8zEIGxDFmvLTJE9JNLnRouVY6D3Yo8bNe0oyMPXuC+xDM8aEWaqWOAZ6ClrDog9bN7y8hMWGnE4D+D1zvM6UGVjdfffJxtVsRgStINbgq698IzmhBTLEwsB/TdwCBu98wTTuRwedlzDOQEBzrkEbOBc+4yLwO2XCGTAug+ZeaodIjspmwK7z3HhfAGykvvgDEX3S8aGmbRbZIwoJVQNKr+dYnpGYpgQiD/QyjEycrxD9DEoPt5n4Rz1zQ3min9guHR/Sc3Tv9VtDxnScYPreVg8RymArXZQqD2PbMDWWYSc6hyxOjbll8VCgz2MvDq26EDusSol5GRzAK/wvLCT2MTyyBFyKzCBxaj2WUspTFThcvqKTF3APiBvLNAPplEz6KcYXAluQWKqBH/xlucKLOlIONbH/Af3P1b3IBmuqMRcGfZVvp/BJRTvJnV53f2jfR10b0yLmpd24EE27blAkd5rZQ59kNrSYugPBgNeOmYNidAVfB85sbHTsY7Imdq8u26VtQMi5mY27p9pRo4uACg3cChJI0zft2Zlb+IWDX4ZcMQ1qzTsC8YsT5BjtGq74S1nLr1rUUtTWj8drVy5GYtqbP9SDCVQ86kYrxRda679/5Tpqi4+p9fsB4EjiPqcMkU2+TzDJ/6Zzbsy4BuyeYfMq+2bhHI4RWQmld070axZ7elVys3ofMFdws6NefT/lPRTMOde4xDnxocqfiiBVTEkim1hp5++GkOZ3lJsK/WkMLMPvhxcN2XjzNaAnYa8FRqG9oEeSIsFo26adwoV+iBJfVZTMHkB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2019-09-25T10:03:00Z</dcterms:created>
  <dc:creator>Cyrine SAID ALI</dc:creator>
</cp:coreProperties>
</file>