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sz w:val="48"/>
          <w:szCs w:val="48"/>
        </w:rPr>
      </w:pPr>
      <w:r w:rsidDel="00000000" w:rsidR="00000000" w:rsidRPr="00000000">
        <w:rPr>
          <w:sz w:val="48"/>
          <w:szCs w:val="48"/>
          <w:rtl w:val="0"/>
        </w:rPr>
        <w:t xml:space="preserve">Western blot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Le Western blot est une technique de transfert sur membrane qui permet la détection et l’identification de protéines dans un échantillon à analyser (taille, concentration etc). Cette technique repose sur une électrophorèse en gel de polyacrylamide pour séparer les protéines préalablement dénaturées, qui sont ensuite transférées sur une membrane (nitrocellulose par exemple) et mise en contact avec des anticorps spécifiques. La détection se fait grâce à des AC secondaires liés à un marqueur permettant la visualisation. </w:t>
      </w:r>
    </w:p>
    <w:p w:rsidR="00000000" w:rsidDel="00000000" w:rsidP="00000000" w:rsidRDefault="00000000" w:rsidRPr="00000000" w14:paraId="00000004">
      <w:pPr>
        <w:pStyle w:val="Heading1"/>
        <w:jc w:val="both"/>
        <w:rPr/>
      </w:pPr>
      <w:bookmarkStart w:colFirst="0" w:colLast="0" w:name="_heading=h.gjdgxs" w:id="0"/>
      <w:bookmarkEnd w:id="0"/>
      <w:r w:rsidDel="00000000" w:rsidR="00000000" w:rsidRPr="00000000">
        <w:rPr>
          <w:rtl w:val="0"/>
        </w:rPr>
        <w:t xml:space="preserve">Plusieurs Étapes : </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Dénaturation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 protéines</w:t>
      </w:r>
      <w:r w:rsidDel="00000000" w:rsidR="00000000" w:rsidRPr="00000000">
        <w:rPr>
          <w:rtl w:val="0"/>
        </w:rPr>
        <w:t xml:space="preserve"> grâce à un tampon (contenant du SDS et DTT notamment) permettant de casser leur structure tridimensionnelle </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Électrophorèse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les protéines sont séparées selon leur taille (les plus lourdes restent en haut du gel) et si possible par point isoélectrique (dans le cas d’une électrophorèse 2D) après avoir été déposées dans des puits. L’un de ces </w:t>
      </w:r>
      <w:r w:rsidDel="00000000" w:rsidR="00000000" w:rsidRPr="00000000">
        <w:rPr>
          <w:rtl w:val="0"/>
        </w:rPr>
        <w:t xml:space="preserve">derniers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est réservé au marqueur constitué d</w:t>
      </w:r>
      <w:r w:rsidDel="00000000" w:rsidR="00000000" w:rsidRPr="00000000">
        <w:rPr>
          <w:rtl w:val="0"/>
        </w:rPr>
        <w:t xml:space="preserve">’une échelle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protéines </w:t>
      </w:r>
      <w:r w:rsidDel="00000000" w:rsidR="00000000" w:rsidRPr="00000000">
        <w:rPr>
          <w:rtl w:val="0"/>
        </w:rPr>
        <w:t xml:space="preserve">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masses connues.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Electro-t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ransfert sur membrane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Permet de mettre en contact des anticorps avec les protéines à détecter (surface mince). Elle se réalise grâce à un courant électrique qui fait migrer les protéines du gel vers la membrane tout en conservant leur position et donc l’information concernant leur masse et point isoélectrique. C’est grâce à des liaisons hydrophobes et ioniques que les protéines s’accrochent à la membrane.</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Blocage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Permet de limiter les interactions entre les anticorps e</w:t>
      </w:r>
      <w:r w:rsidDel="00000000" w:rsidR="00000000" w:rsidRPr="00000000">
        <w:rPr>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membrane, </w:t>
      </w:r>
      <w:r w:rsidDel="00000000" w:rsidR="00000000" w:rsidRPr="00000000">
        <w:rPr>
          <w:rtl w:val="0"/>
        </w:rPr>
        <w:t xml:space="preserve">en la plongeant dans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une solution de protéines concentrées (de type BSA par ex) pendant une heure. Cela permet de lier les protéines </w:t>
      </w:r>
      <w:r w:rsidDel="00000000" w:rsidR="00000000" w:rsidRPr="00000000">
        <w:rPr>
          <w:rtl w:val="0"/>
        </w:rPr>
        <w:t xml:space="preserve">de la solution à la membrane, sur les sites non occupés par les protéines d’intérêt et ainsi empêcher les anticorps de se fixer sur la membrane.</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Détection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Des anticorps marqués spécifiques sont ajoutés. Il est ainsi possible de les visualiser grâce à une enzyme et son substrat qui émettent un signal (coloration par exemple). Soit un anticorps primaire et un secondaire sont utilisés,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soit un seul primaire (très rare) permettant un gain de temps mais nécessitant un anticorps capable de détecter la protéine et d’émettre un signal.</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Analyse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 diverses méthodes selon les anticorps et enzymes utilisées.</w:t>
      </w:r>
    </w:p>
    <w:p w:rsidR="00000000" w:rsidDel="00000000" w:rsidP="00000000" w:rsidRDefault="00000000" w:rsidRPr="00000000" w14:paraId="0000000B">
      <w:pPr>
        <w:ind w:left="360"/>
        <w:jc w:val="both"/>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drawing>
          <wp:inline distB="0" distT="0" distL="0" distR="0">
            <wp:extent cx="3630233" cy="2650070"/>
            <wp:effectExtent b="0" l="0" r="0" t="0"/>
            <wp:docPr descr="The brief processes of WB" id="2" name="image1.png"/>
            <a:graphic>
              <a:graphicData uri="http://schemas.openxmlformats.org/drawingml/2006/picture">
                <pic:pic>
                  <pic:nvPicPr>
                    <pic:cNvPr descr="The brief processes of WB" id="0" name="image1.png"/>
                    <pic:cNvPicPr preferRelativeResize="0"/>
                  </pic:nvPicPr>
                  <pic:blipFill>
                    <a:blip r:embed="rId7"/>
                    <a:srcRect b="0" l="0" r="0" t="0"/>
                    <a:stretch>
                      <a:fillRect/>
                    </a:stretch>
                  </pic:blipFill>
                  <pic:spPr>
                    <a:xfrm>
                      <a:off x="0" y="0"/>
                      <a:ext cx="3630233" cy="265007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pStyle w:val="Heading1"/>
        <w:jc w:val="both"/>
        <w:rPr/>
      </w:pPr>
      <w:r w:rsidDel="00000000" w:rsidR="00000000" w:rsidRPr="00000000">
        <w:rPr>
          <w:rtl w:val="0"/>
        </w:rPr>
        <w:t xml:space="preserve">Avantages et inconvénients</w:t>
      </w:r>
    </w:p>
    <w:tbl>
      <w:tblPr>
        <w:tblStyle w:val="Table1"/>
        <w:tblW w:w="9062.0" w:type="dxa"/>
        <w:jc w:val="left"/>
        <w:tblInd w:w="0.0" w:type="dxa"/>
        <w:tblBorders>
          <w:top w:color="8eaadb" w:space="0" w:sz="4" w:val="single"/>
          <w:left w:color="dbdbdb" w:space="0" w:sz="4" w:val="single"/>
          <w:bottom w:color="8eaadb" w:space="0" w:sz="4" w:val="single"/>
          <w:right w:color="dbdbdb" w:space="0" w:sz="4" w:val="single"/>
          <w:insideH w:color="8eaadb" w:space="0" w:sz="4" w:val="single"/>
          <w:insideV w:color="8eaadb" w:space="0" w:sz="4" w:val="single"/>
        </w:tblBorders>
        <w:tblLayout w:type="fixed"/>
        <w:tblLook w:val="04A0"/>
      </w:tblPr>
      <w:tblGrid>
        <w:gridCol w:w="4531"/>
        <w:gridCol w:w="4531"/>
        <w:tblGridChange w:id="0">
          <w:tblGrid>
            <w:gridCol w:w="4531"/>
            <w:gridCol w:w="4531"/>
          </w:tblGrid>
        </w:tblGridChange>
      </w:tblGrid>
      <w:tr>
        <w:tc>
          <w:tcPr/>
          <w:p w:rsidR="00000000" w:rsidDel="00000000" w:rsidP="00000000" w:rsidRDefault="00000000" w:rsidRPr="00000000" w14:paraId="0000000F">
            <w:pPr>
              <w:jc w:val="both"/>
              <w:rPr/>
            </w:pPr>
            <w:r w:rsidDel="00000000" w:rsidR="00000000" w:rsidRPr="00000000">
              <w:rPr>
                <w:rtl w:val="0"/>
              </w:rPr>
              <w:t xml:space="preserve">Avantages</w:t>
            </w:r>
          </w:p>
        </w:tc>
        <w:tc>
          <w:tcPr/>
          <w:p w:rsidR="00000000" w:rsidDel="00000000" w:rsidP="00000000" w:rsidRDefault="00000000" w:rsidRPr="00000000" w14:paraId="00000010">
            <w:pPr>
              <w:jc w:val="both"/>
              <w:rPr/>
            </w:pPr>
            <w:r w:rsidDel="00000000" w:rsidR="00000000" w:rsidRPr="00000000">
              <w:rPr>
                <w:rtl w:val="0"/>
              </w:rPr>
              <w:t xml:space="preserve">Inconvénients</w:t>
            </w:r>
          </w:p>
        </w:tc>
      </w:tr>
      <w:tr>
        <w:tc>
          <w:tcPr/>
          <w:p w:rsidR="00000000" w:rsidDel="00000000" w:rsidP="00000000" w:rsidRDefault="00000000" w:rsidRPr="00000000" w14:paraId="00000011">
            <w:pPr>
              <w:jc w:val="both"/>
              <w:rPr>
                <w:b w:val="0"/>
              </w:rPr>
            </w:pPr>
            <w:r w:rsidDel="00000000" w:rsidR="00000000" w:rsidRPr="00000000">
              <w:rPr>
                <w:b w:val="0"/>
                <w:rtl w:val="0"/>
              </w:rPr>
              <w:t xml:space="preserve">Détection de plusieurs protéines simultanément</w:t>
            </w:r>
          </w:p>
        </w:tc>
        <w:tc>
          <w:tcPr/>
          <w:p w:rsidR="00000000" w:rsidDel="00000000" w:rsidP="00000000" w:rsidRDefault="00000000" w:rsidRPr="00000000" w14:paraId="00000012">
            <w:pPr>
              <w:jc w:val="both"/>
              <w:rPr/>
            </w:pPr>
            <w:r w:rsidDel="00000000" w:rsidR="00000000" w:rsidRPr="00000000">
              <w:rPr>
                <w:rtl w:val="0"/>
              </w:rPr>
              <w:t xml:space="preserve">Disponibilité des anticorps</w:t>
            </w:r>
          </w:p>
        </w:tc>
      </w:tr>
      <w:tr>
        <w:tc>
          <w:tcPr>
            <w:tcBorders>
              <w:bottom w:color="8eaadb" w:space="0" w:sz="8" w:val="single"/>
            </w:tcBorders>
          </w:tcPr>
          <w:p w:rsidR="00000000" w:rsidDel="00000000" w:rsidP="00000000" w:rsidRDefault="00000000" w:rsidRPr="00000000" w14:paraId="00000013">
            <w:pPr>
              <w:jc w:val="both"/>
              <w:rPr>
                <w:b w:val="0"/>
              </w:rPr>
            </w:pPr>
            <w:r w:rsidDel="00000000" w:rsidR="00000000" w:rsidRPr="00000000">
              <w:rPr>
                <w:b w:val="0"/>
                <w:rtl w:val="0"/>
              </w:rPr>
              <w:t xml:space="preserve">Semi-quantification possible avec une seconde analyse</w:t>
            </w:r>
          </w:p>
        </w:tc>
        <w:tc>
          <w:tcPr/>
          <w:p w:rsidR="00000000" w:rsidDel="00000000" w:rsidP="00000000" w:rsidRDefault="00000000" w:rsidRPr="00000000" w14:paraId="00000014">
            <w:pPr>
              <w:rPr/>
            </w:pPr>
            <w:r w:rsidDel="00000000" w:rsidR="00000000" w:rsidRPr="00000000">
              <w:rPr>
                <w:rtl w:val="0"/>
              </w:rPr>
              <w:t xml:space="preserve">Conditions expérimentales difficiles</w:t>
            </w:r>
            <w:r w:rsidDel="00000000" w:rsidR="00000000" w:rsidRPr="00000000">
              <w:rPr>
                <w:rtl w:val="0"/>
              </w:rPr>
              <w:t xml:space="preserve"> (concentration du gel, tampons…)</w:t>
            </w:r>
          </w:p>
        </w:tc>
      </w:tr>
      <w:tr>
        <w:tc>
          <w:tcPr>
            <w:tcBorders>
              <w:top w:color="8eaadb" w:space="0" w:sz="8" w:val="single"/>
              <w:left w:color="000000" w:space="0" w:sz="0" w:val="nil"/>
              <w:bottom w:color="000000" w:space="0" w:sz="0" w:val="nil"/>
              <w:right w:color="8eaadb" w:space="0" w:sz="8" w:val="single"/>
            </w:tcBorders>
            <w:shd w:fill="auto" w:val="clear"/>
          </w:tcPr>
          <w:p w:rsidR="00000000" w:rsidDel="00000000" w:rsidP="00000000" w:rsidRDefault="00000000" w:rsidRPr="00000000" w14:paraId="00000015">
            <w:pPr>
              <w:jc w:val="both"/>
              <w:rPr/>
            </w:pPr>
            <w:r w:rsidDel="00000000" w:rsidR="00000000" w:rsidRPr="00000000">
              <w:rPr>
                <w:rtl w:val="0"/>
              </w:rPr>
            </w:r>
          </w:p>
        </w:tc>
        <w:tc>
          <w:tcPr>
            <w:tcBorders>
              <w:left w:color="8eaadb" w:space="0" w:sz="8" w:val="single"/>
            </w:tcBorders>
          </w:tcPr>
          <w:p w:rsidR="00000000" w:rsidDel="00000000" w:rsidP="00000000" w:rsidRDefault="00000000" w:rsidRPr="00000000" w14:paraId="00000016">
            <w:pPr>
              <w:jc w:val="both"/>
              <w:rPr/>
            </w:pPr>
            <w:r w:rsidDel="00000000" w:rsidR="00000000" w:rsidRPr="00000000">
              <w:rPr>
                <w:rtl w:val="0"/>
              </w:rPr>
              <w:t xml:space="preserve">Spécificité des anticorps</w:t>
            </w:r>
          </w:p>
        </w:tc>
      </w:tr>
    </w:tbl>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pStyle w:val="Heading1"/>
        <w:jc w:val="both"/>
        <w:rPr/>
      </w:pPr>
      <w:r w:rsidDel="00000000" w:rsidR="00000000" w:rsidRPr="00000000">
        <w:rPr>
          <w:rtl w:val="0"/>
        </w:rPr>
        <w:t xml:space="preserve">Utilisations : </w:t>
      </w:r>
    </w:p>
    <w:p w:rsidR="00000000" w:rsidDel="00000000" w:rsidP="00000000" w:rsidRDefault="00000000" w:rsidRPr="00000000" w14:paraId="00000019">
      <w:pPr>
        <w:jc w:val="both"/>
        <w:rPr/>
      </w:pPr>
      <w:r w:rsidDel="00000000" w:rsidR="00000000" w:rsidRPr="00000000">
        <w:rPr>
          <w:rtl w:val="0"/>
        </w:rPr>
        <w:t xml:space="preserve">Le western blot est très utilisée en biochimie et biologie moléculaire pour détecter des protéines dans des tissus : </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Détection du VIH et ESB (maladie de la vache folle)</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Peut-être utilisée pour détecter la maladie de Lyme</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pStyle w:val="Heading3"/>
        <w:rPr/>
      </w:pPr>
      <w:r w:rsidDel="00000000" w:rsidR="00000000" w:rsidRPr="00000000">
        <w:rPr>
          <w:rtl w:val="0"/>
        </w:rPr>
        <w:t xml:space="preserve">Sources :</w:t>
      </w:r>
    </w:p>
    <w:p w:rsidR="00000000" w:rsidDel="00000000" w:rsidP="00000000" w:rsidRDefault="00000000" w:rsidRPr="00000000" w14:paraId="0000001E">
      <w:pPr>
        <w:rPr/>
      </w:pPr>
      <w:r w:rsidDel="00000000" w:rsidR="00000000" w:rsidRPr="00000000">
        <w:rPr>
          <w:rtl w:val="0"/>
        </w:rPr>
        <w:t xml:space="preserve">Anticorps-enligne.fr : </w:t>
      </w:r>
      <w:hyperlink r:id="rId8">
        <w:r w:rsidDel="00000000" w:rsidR="00000000" w:rsidRPr="00000000">
          <w:rPr>
            <w:color w:val="0000ff"/>
            <w:u w:val="single"/>
            <w:rtl w:val="0"/>
          </w:rPr>
          <w:t xml:space="preserve">https://www.anticorps-enligne.fr</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Boucher. G (2013), Western Blot Introduction et Optimisation : http://docs.abcam.com/pdf/events/western-blot-introduction-et-optimisation.pdf</w:t>
      </w:r>
    </w:p>
    <w:p w:rsidR="00000000" w:rsidDel="00000000" w:rsidP="00000000" w:rsidRDefault="00000000" w:rsidRPr="00000000" w14:paraId="00000020">
      <w:pPr>
        <w:pStyle w:val="Heading3"/>
        <w:rPr/>
      </w:pPr>
      <w:r w:rsidDel="00000000" w:rsidR="00000000" w:rsidRPr="00000000">
        <w:rPr>
          <w:rtl w:val="0"/>
        </w:rPr>
        <w:t xml:space="preserve">Pour aller plus loin : </w:t>
      </w:r>
    </w:p>
    <w:p w:rsidR="00000000" w:rsidDel="00000000" w:rsidP="00000000" w:rsidRDefault="00000000" w:rsidRPr="00000000" w14:paraId="00000021">
      <w:pPr>
        <w:rPr>
          <w:color w:val="1d1d1d"/>
          <w:highlight w:val="white"/>
        </w:rPr>
      </w:pPr>
      <w:r w:rsidDel="00000000" w:rsidR="00000000" w:rsidRPr="00000000">
        <w:rPr>
          <w:color w:val="1d1d1d"/>
          <w:highlight w:val="white"/>
          <w:rtl w:val="0"/>
        </w:rPr>
        <w:t xml:space="preserve">Cusabio : </w:t>
      </w:r>
      <w:hyperlink r:id="rId9">
        <w:r w:rsidDel="00000000" w:rsidR="00000000" w:rsidRPr="00000000">
          <w:rPr>
            <w:color w:val="0000ff"/>
            <w:highlight w:val="white"/>
            <w:u w:val="single"/>
            <w:rtl w:val="0"/>
          </w:rPr>
          <w:t xml:space="preserve">https://www.cusabio.com/m-244.html</w:t>
        </w:r>
      </w:hyperlink>
      <w:r w:rsidDel="00000000" w:rsidR="00000000" w:rsidRPr="00000000">
        <w:rPr>
          <w:rtl w:val="0"/>
        </w:rPr>
      </w:r>
    </w:p>
    <w:p w:rsidR="00000000" w:rsidDel="00000000" w:rsidP="00000000" w:rsidRDefault="00000000" w:rsidRPr="00000000" w14:paraId="00000022">
      <w:pPr>
        <w:rPr>
          <w:color w:val="1d1d1d"/>
          <w:highlight w:val="white"/>
        </w:rPr>
      </w:pPr>
      <w:r w:rsidDel="00000000" w:rsidR="00000000" w:rsidRPr="00000000">
        <w:rPr>
          <w:color w:val="1d1d1d"/>
          <w:highlight w:val="white"/>
          <w:rtl w:val="0"/>
        </w:rPr>
        <w:t xml:space="preserve">Abcam, Protocols and troubleshooting tips : https://www.abcam.com/index.html?pageconfig=popular_protocols</w:t>
      </w:r>
    </w:p>
    <w:p w:rsidR="00000000" w:rsidDel="00000000" w:rsidP="00000000" w:rsidRDefault="00000000" w:rsidRPr="00000000" w14:paraId="00000023">
      <w:pPr>
        <w:jc w:val="both"/>
        <w:rPr>
          <w:color w:val="1d1d1d"/>
          <w:highlight w:val="white"/>
        </w:rPr>
      </w:pPr>
      <w:r w:rsidDel="00000000" w:rsidR="00000000" w:rsidRPr="00000000">
        <w:rPr>
          <w:rtl w:val="0"/>
        </w:rPr>
      </w:r>
    </w:p>
    <w:p w:rsidR="00000000" w:rsidDel="00000000" w:rsidP="00000000" w:rsidRDefault="00000000" w:rsidRPr="00000000" w14:paraId="00000024">
      <w:pPr>
        <w:jc w:val="both"/>
        <w:rPr>
          <w:color w:val="1d1d1d"/>
          <w:highlight w:val="white"/>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ind w:left="360"/>
        <w:jc w:val="both"/>
        <w:rPr>
          <w:sz w:val="18"/>
          <w:szCs w:val="18"/>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22222"/>
        <w:sz w:val="21"/>
        <w:szCs w:val="2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link w:val="Titre1Car"/>
    <w:uiPriority w:val="9"/>
    <w:qFormat w:val="1"/>
    <w:rsid w:val="00404749"/>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Titre2">
    <w:name w:val="heading 2"/>
    <w:basedOn w:val="Normal"/>
    <w:next w:val="Normal"/>
    <w:link w:val="Titre2Car"/>
    <w:uiPriority w:val="9"/>
    <w:unhideWhenUsed w:val="1"/>
    <w:qFormat w:val="1"/>
    <w:rsid w:val="00416185"/>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Titre3">
    <w:name w:val="heading 3"/>
    <w:basedOn w:val="Normal"/>
    <w:next w:val="Normal"/>
    <w:link w:val="Titre3Car"/>
    <w:uiPriority w:val="9"/>
    <w:unhideWhenUsed w:val="1"/>
    <w:qFormat w:val="1"/>
    <w:rsid w:val="00416185"/>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Titre4">
    <w:name w:val="heading 4"/>
    <w:basedOn w:val="Normal"/>
    <w:next w:val="Normal"/>
    <w:link w:val="Titre4Car"/>
    <w:uiPriority w:val="9"/>
    <w:unhideWhenUsed w:val="1"/>
    <w:qFormat w:val="1"/>
    <w:rsid w:val="00416185"/>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ienhypertexte">
    <w:name w:val="Hyperlink"/>
    <w:basedOn w:val="Policepardfaut"/>
    <w:uiPriority w:val="99"/>
    <w:unhideWhenUsed w:val="1"/>
    <w:rsid w:val="00A82CF4"/>
    <w:rPr>
      <w:color w:val="0000ff"/>
      <w:u w:val="single"/>
    </w:rPr>
  </w:style>
  <w:style w:type="paragraph" w:styleId="Paragraphedeliste">
    <w:name w:val="List Paragraph"/>
    <w:basedOn w:val="Normal"/>
    <w:uiPriority w:val="34"/>
    <w:qFormat w:val="1"/>
    <w:rsid w:val="00A82CF4"/>
    <w:pPr>
      <w:ind w:left="720"/>
      <w:contextualSpacing w:val="1"/>
    </w:pPr>
  </w:style>
  <w:style w:type="character" w:styleId="link-wrapper" w:customStyle="1">
    <w:name w:val="link-wrapper"/>
    <w:basedOn w:val="Policepardfaut"/>
    <w:rsid w:val="00E32082"/>
  </w:style>
  <w:style w:type="table" w:styleId="Grilledutableau">
    <w:name w:val="Table Grid"/>
    <w:basedOn w:val="TableauNormal"/>
    <w:uiPriority w:val="39"/>
    <w:rsid w:val="004D3CB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ausimple3">
    <w:name w:val="Plain Table 3"/>
    <w:basedOn w:val="TableauNormal"/>
    <w:uiPriority w:val="43"/>
    <w:rsid w:val="004D3CBF"/>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Tableausimple1">
    <w:name w:val="Plain Table 1"/>
    <w:basedOn w:val="TableauNormal"/>
    <w:uiPriority w:val="41"/>
    <w:rsid w:val="004D3CBF"/>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Titre1Car" w:customStyle="1">
    <w:name w:val="Titre 1 Car"/>
    <w:basedOn w:val="Policepardfaut"/>
    <w:link w:val="Titre1"/>
    <w:uiPriority w:val="9"/>
    <w:rsid w:val="00404749"/>
    <w:rPr>
      <w:rFonts w:asciiTheme="majorHAnsi" w:cstheme="majorBidi" w:eastAsiaTheme="majorEastAsia" w:hAnsiTheme="majorHAnsi"/>
      <w:color w:val="2e74b5" w:themeColor="accent1" w:themeShade="0000BF"/>
      <w:sz w:val="32"/>
      <w:szCs w:val="32"/>
    </w:rPr>
  </w:style>
  <w:style w:type="character" w:styleId="Titre2Car" w:customStyle="1">
    <w:name w:val="Titre 2 Car"/>
    <w:basedOn w:val="Policepardfaut"/>
    <w:link w:val="Titre2"/>
    <w:uiPriority w:val="9"/>
    <w:rsid w:val="00416185"/>
    <w:rPr>
      <w:rFonts w:asciiTheme="majorHAnsi" w:cstheme="majorBidi" w:eastAsiaTheme="majorEastAsia" w:hAnsiTheme="majorHAnsi"/>
      <w:color w:val="2e74b5" w:themeColor="accent1" w:themeShade="0000BF"/>
      <w:sz w:val="26"/>
      <w:szCs w:val="26"/>
    </w:rPr>
  </w:style>
  <w:style w:type="table" w:styleId="TableauGrille1Clair-Accentuation3">
    <w:name w:val="Grid Table 1 Light Accent 3"/>
    <w:basedOn w:val="TableauNormal"/>
    <w:uiPriority w:val="46"/>
    <w:rsid w:val="00416185"/>
    <w:pPr>
      <w:spacing w:after="0" w:line="240" w:lineRule="auto"/>
    </w:pPr>
    <w:tblPr>
      <w:tblStyleRowBandSize w:val="1"/>
      <w:tblStyleColBandSize w:val="1"/>
      <w:tblBorders>
        <w:top w:color="dbdbdb" w:space="0" w:sz="4" w:themeColor="accent3" w:themeTint="000066" w:val="single"/>
        <w:left w:color="dbdbdb" w:space="0" w:sz="4" w:themeColor="accent3" w:themeTint="000066" w:val="single"/>
        <w:bottom w:color="dbdbdb" w:space="0" w:sz="4" w:themeColor="accent3" w:themeTint="000066" w:val="single"/>
        <w:right w:color="dbdbdb" w:space="0" w:sz="4" w:themeColor="accent3" w:themeTint="000066" w:val="single"/>
        <w:insideH w:color="dbdbdb" w:space="0" w:sz="4" w:themeColor="accent3" w:themeTint="000066" w:val="single"/>
        <w:insideV w:color="dbdbdb" w:space="0" w:sz="4" w:themeColor="accent3" w:themeTint="000066"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2" w:themeColor="accent3" w:themeTint="000099" w:val="double"/>
        </w:tcBorders>
      </w:tcPr>
    </w:tblStylePr>
    <w:tblStylePr w:type="firstCol">
      <w:rPr>
        <w:b w:val="1"/>
        <w:bCs w:val="1"/>
      </w:rPr>
    </w:tblStylePr>
    <w:tblStylePr w:type="lastCol">
      <w:rPr>
        <w:b w:val="1"/>
        <w:bCs w:val="1"/>
      </w:rPr>
    </w:tblStylePr>
  </w:style>
  <w:style w:type="table" w:styleId="TableauGrille2-Accentuation5">
    <w:name w:val="Grid Table 2 Accent 5"/>
    <w:basedOn w:val="TableauNormal"/>
    <w:uiPriority w:val="47"/>
    <w:rsid w:val="00416185"/>
    <w:pPr>
      <w:spacing w:after="0" w:line="240" w:lineRule="auto"/>
    </w:pPr>
    <w:tblPr>
      <w:tblStyleRowBandSize w:val="1"/>
      <w:tblStyleColBandSize w:val="1"/>
      <w:tblBorders>
        <w:top w:color="8eaadb" w:space="0" w:sz="2" w:themeColor="accent5" w:themeTint="000099" w:val="single"/>
        <w:bottom w:color="8eaadb" w:space="0" w:sz="2" w:themeColor="accent5" w:themeTint="000099" w:val="single"/>
        <w:insideH w:color="8eaadb" w:space="0" w:sz="2" w:themeColor="accent5" w:themeTint="000099" w:val="single"/>
        <w:insideV w:color="8eaadb" w:space="0" w:sz="2" w:themeColor="accent5" w:themeTint="000099" w:val="single"/>
      </w:tblBorders>
    </w:tblPr>
    <w:tblStylePr w:type="firstRow">
      <w:rPr>
        <w:b w:val="1"/>
        <w:bCs w:val="1"/>
      </w:rPr>
      <w:tblPr/>
      <w:tcPr>
        <w:tcBorders>
          <w:top w:space="0" w:sz="0" w:val="nil"/>
          <w:bottom w:color="8eaadb"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8eaadb"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9e2f3" w:themeFill="accent5" w:themeFillTint="000033" w:val="clear"/>
      </w:tcPr>
    </w:tblStylePr>
    <w:tblStylePr w:type="band1Horz">
      <w:tblPr/>
      <w:tcPr>
        <w:shd w:color="auto" w:fill="d9e2f3" w:themeFill="accent5" w:themeFillTint="000033" w:val="clear"/>
      </w:tcPr>
    </w:tblStylePr>
  </w:style>
  <w:style w:type="character" w:styleId="Titre3Car" w:customStyle="1">
    <w:name w:val="Titre 3 Car"/>
    <w:basedOn w:val="Policepardfaut"/>
    <w:link w:val="Titre3"/>
    <w:uiPriority w:val="9"/>
    <w:rsid w:val="00416185"/>
    <w:rPr>
      <w:rFonts w:asciiTheme="majorHAnsi" w:cstheme="majorBidi" w:eastAsiaTheme="majorEastAsia" w:hAnsiTheme="majorHAnsi"/>
      <w:color w:val="1f4d78" w:themeColor="accent1" w:themeShade="00007F"/>
      <w:sz w:val="24"/>
      <w:szCs w:val="24"/>
    </w:rPr>
  </w:style>
  <w:style w:type="character" w:styleId="Titre4Car" w:customStyle="1">
    <w:name w:val="Titre 4 Car"/>
    <w:basedOn w:val="Policepardfaut"/>
    <w:link w:val="Titre4"/>
    <w:uiPriority w:val="9"/>
    <w:rsid w:val="00416185"/>
    <w:rPr>
      <w:rFonts w:asciiTheme="majorHAnsi" w:cstheme="majorBidi" w:eastAsiaTheme="majorEastAsia" w:hAnsiTheme="majorHAnsi"/>
      <w:i w:val="1"/>
      <w:iCs w:val="1"/>
      <w:color w:val="2e74b5" w:themeColor="accent1" w:themeShade="0000BF"/>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rPr>
      <w:tcPr>
        <w:tcBorders>
          <w:top w:color="000000" w:space="0" w:sz="0" w:val="nil"/>
          <w:bottom w:color="8eaadb"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8eaadb" w:space="0" w:sz="4" w:val="single"/>
          <w:bottom w:color="000000" w:space="0" w:sz="0" w:val="nil"/>
          <w:insideH w:color="000000" w:space="0" w:sz="0" w:val="nil"/>
          <w:insideV w:color="000000" w:space="0" w:sz="0" w:val="nil"/>
        </w:tcBorders>
        <w:shd w:fill="ffffff" w:val="cle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usabio.com/m-244.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anticorps-enlig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CixcYEUliLLk7LKjcsj5VYTY/Q==">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2019-09-19T07:26:00Z</dcterms:created>
  <dc:creator>Romane Pellerin</dc:creator>
</cp:coreProperties>
</file>