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Rappel des techniques de transformation d’organismes supérieurs, transfection de cellules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Transformation transitoire/stable</w:t>
      </w:r>
    </w:p>
    <w:p w:rsidR="00000000" w:rsidDel="00000000" w:rsidP="00000000" w:rsidRDefault="00000000" w:rsidRPr="00000000" w14:paraId="00000003">
      <w:pPr>
        <w:jc w:val="center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60" w:line="259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Transformation d’organismes supérieurs : </w:t>
      </w:r>
    </w:p>
    <w:p w:rsidR="00000000" w:rsidDel="00000000" w:rsidP="00000000" w:rsidRDefault="00000000" w:rsidRPr="00000000" w14:paraId="00000005">
      <w:pPr>
        <w:spacing w:after="160" w:line="259" w:lineRule="auto"/>
        <w:jc w:val="both"/>
        <w:rPr/>
      </w:pPr>
      <w:r w:rsidDel="00000000" w:rsidR="00000000" w:rsidRPr="00000000">
        <w:rPr>
          <w:rtl w:val="0"/>
        </w:rPr>
        <w:t xml:space="preserve">Différentes techniques peuvent être utilisées, en fonction de l’organisme visé. </w:t>
      </w:r>
    </w:p>
    <w:p w:rsidR="00000000" w:rsidDel="00000000" w:rsidP="00000000" w:rsidRDefault="00000000" w:rsidRPr="00000000" w14:paraId="00000006">
      <w:pPr>
        <w:spacing w:after="160" w:line="259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Dans le monde animal 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3276600</wp:posOffset>
            </wp:positionH>
            <wp:positionV relativeFrom="paragraph">
              <wp:posOffset>381000</wp:posOffset>
            </wp:positionV>
            <wp:extent cx="3181667" cy="3034583"/>
            <wp:effectExtent b="0" l="0" r="0" t="0"/>
            <wp:wrapSquare wrapText="bothSides" distB="114300" distT="114300" distL="114300" distR="11430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81667" cy="30345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micro-injection :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Injection d’ADN/ARN/protéines directement dans un des deux œufs (mâle ou femelle) avant qu’ils ne fusionnent pour former un embryon </w:t>
      </w:r>
      <w:r w:rsidDel="00000000" w:rsidR="00000000" w:rsidRPr="00000000">
        <w:rPr>
          <w:rtl w:val="0"/>
        </w:rPr>
        <w:t xml:space="preserve">qui sera ensuite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transplanté. 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 à 30% de réussite et de descendants ayant intégré le gène 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Simple et rapide, stabilité variable, association à l’ADN chromosomique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Trois types de devenir pour les molécules injectées 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Diffusion homogène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Diffusion localisée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Diffusion gradué</w:t>
      </w:r>
      <w:r w:rsidDel="00000000" w:rsidR="00000000" w:rsidRPr="00000000">
        <w:rPr>
          <w:rtl w:val="0"/>
        </w:rPr>
        <w:t xml:space="preserve">e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760" w:right="0" w:firstLine="0"/>
        <w:jc w:val="both"/>
        <w:rPr/>
      </w:pPr>
      <w:r w:rsidDel="00000000" w:rsidR="00000000" w:rsidRPr="00000000">
        <w:rPr>
          <w:rtl w:val="0"/>
        </w:rPr>
        <w:t xml:space="preserve">      Figure 1 : Schéma récapitulatif   de la micro-injection [8]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right="0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3652838</wp:posOffset>
            </wp:positionH>
            <wp:positionV relativeFrom="paragraph">
              <wp:posOffset>133350</wp:posOffset>
            </wp:positionV>
            <wp:extent cx="2580958" cy="1521227"/>
            <wp:effectExtent b="0" l="0" r="0" t="0"/>
            <wp:wrapSquare wrapText="bothSides" distB="114300" distT="11430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0958" cy="152122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lipofection :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Création d’un endosome qui va permettre, après fusion entre l’endosome et le lipoplex et rupture de l’endosome, l’introduction et la libération de l’ADN dans le cytoso</w:t>
      </w:r>
      <w:r w:rsidDel="00000000" w:rsidR="00000000" w:rsidRPr="00000000">
        <w:rPr>
          <w:rtl w:val="0"/>
        </w:rPr>
        <w:t xml:space="preserve">l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040" w:right="0" w:firstLine="720"/>
        <w:jc w:val="both"/>
        <w:rPr/>
      </w:pPr>
      <w:r w:rsidDel="00000000" w:rsidR="00000000" w:rsidRPr="00000000">
        <w:rPr>
          <w:rtl w:val="0"/>
        </w:rPr>
        <w:t xml:space="preserve">Figure 2 : Schéma de la  lipofection [9]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</w:t>
      </w:r>
      <w:r w:rsidDel="00000000" w:rsidR="00000000" w:rsidRPr="00000000">
        <w:rPr>
          <w:rtl w:val="0"/>
        </w:rPr>
        <w:t xml:space="preserve">transgénèse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: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 méthodes efficaces :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Intégrase méganucléase :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Activité enzymatique spécifique de type endonucléase (reconnaissance de séquences longues de 14 et 44 pb)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Expression proche de la physiologie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 permet pas de cibler l’ensemble du génome malgré possible modification de méganucléase naturelle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REMI (restriction enzyme mediated integration):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Activité enzymatique peu spécifique (reconnaissance de séquence de généralement 4 à 8 nucléotides)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Modification des spermatozoïdes 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right="0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1257617</wp:posOffset>
            </wp:positionH>
            <wp:positionV relativeFrom="paragraph">
              <wp:posOffset>38100</wp:posOffset>
            </wp:positionV>
            <wp:extent cx="2800667" cy="3071700"/>
            <wp:effectExtent b="0" l="0" r="0" t="0"/>
            <wp:wrapSquare wrapText="bothSides" distB="19050" distT="19050" distL="19050" distR="1905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0667" cy="3071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right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right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right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right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right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right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right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right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right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right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right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right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right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right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right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720"/>
        <w:jc w:val="both"/>
        <w:rPr/>
      </w:pPr>
      <w:r w:rsidDel="00000000" w:rsidR="00000000" w:rsidRPr="00000000">
        <w:rPr>
          <w:rtl w:val="0"/>
        </w:rPr>
        <w:t xml:space="preserve">Figure 3 : Schéma du fonctionnement de la REMI [10]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right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REMI Méganucléase :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Activité enzymatique spécifique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Modification des 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spermatozoïdes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Insertion de larges fragments d’ADN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Utilisation de 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numPr>
          <w:ilvl w:val="4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BAC, chromosomes bactériens artificiels, jusqu’à 100/150 kpb clonés si utilisé en vecteur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numPr>
          <w:ilvl w:val="4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YAC, chromosomes de levures artificiels, jusqu’à 2Mpb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160" w:line="259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Dans le monde végétal : 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Transfert direct d’ADN :</w:t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Méthodes électrochimiques :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Electroporation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Choc électrique qui va perméabiliser la membrane, permettant à l’ADN de rentrer (utilisable que sur protoplastes, cellules débarrassées de leur paroi pecto-cellulosique)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PEG (PolyEthylène Glycol)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Polymère déstabilisant la membrane plasmique de manière réversibl</w:t>
      </w:r>
      <w:r w:rsidDel="00000000" w:rsidR="00000000" w:rsidRPr="00000000">
        <w:rPr>
          <w:rtl w:val="0"/>
        </w:rPr>
        <w:t xml:space="preserve">e, permettant la fusion de plusieurs cellules ou l’entrée d’acides nucléiques dans la cellule (utilisable aussi sur protoplastes uniquement)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Méthodes physiques :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Biolistique : 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L’ADN à transférer est fixé sur des microbilles puis projeté sous pression vers le matériel végétal à transformer (utilisable sur tout type de matériel végétal car les billes peuvent traverser l</w:t>
      </w:r>
      <w:r w:rsidDel="00000000" w:rsidR="00000000" w:rsidRPr="00000000">
        <w:rPr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paroi)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Micro-injection (anecdotique, très peu utilisée chez le végétal)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Transfert par Agrobacterium </w:t>
      </w:r>
      <w:r w:rsidDel="00000000" w:rsidR="00000000" w:rsidRPr="00000000">
        <w:rPr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umefaciens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Insertion du gène ou de la construction d’intérêt (portant également un gène de sélection) dans un vecteur adapté à l’amplification dans E.coli (préparation du vecteur) et Agrobacterium tumefaciens (transfo en vue de la transformation de génome végétal ultérieure)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4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Transfert de la construction via A. tumefaciens (la bactérie transfère son ADN-T (T-DNA) dans la cellule végétale; ce fragment d’ADN va s’insérer dans le génome nucléaire d’une cellule végétale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40" w:right="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Régénération de plantes entières (propriété de totipotence des cellules végétales), sélection des cellules transformées (expriment le gène de sélection)</w:t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40" w:right="0" w:firstLine="0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100331</wp:posOffset>
            </wp:positionH>
            <wp:positionV relativeFrom="paragraph">
              <wp:posOffset>0</wp:posOffset>
            </wp:positionV>
            <wp:extent cx="5562918" cy="3337751"/>
            <wp:effectExtent b="0" l="0" r="0" t="0"/>
            <wp:wrapSquare wrapText="bothSides" distB="0" distT="0" distL="114300" distR="11430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2685" l="0" r="0" t="12402"/>
                    <a:stretch>
                      <a:fillRect/>
                    </a:stretch>
                  </pic:blipFill>
                  <pic:spPr>
                    <a:xfrm>
                      <a:off x="0" y="0"/>
                      <a:ext cx="5562918" cy="33377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  <w:t xml:space="preserve">Figure 4 : Schéma du fonctionnement du transfert par Agrobacterium tumefaciens [7]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Sources</w:t>
      </w:r>
    </w:p>
    <w:p w:rsidR="00000000" w:rsidDel="00000000" w:rsidP="00000000" w:rsidRDefault="00000000" w:rsidRPr="00000000" w14:paraId="0000004B">
      <w:pPr>
        <w:jc w:val="center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Cours de M. Thomas – Institut Villebon George Charpak – L2(S3), UE Science</w:t>
      </w:r>
      <w:r w:rsidDel="00000000" w:rsidR="00000000" w:rsidRPr="00000000">
        <w:rPr>
          <w:rtl w:val="0"/>
        </w:rPr>
        <w:t xml:space="preserve"> au Quotidien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Ingénierie Biologique</w:t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Cours : </w:t>
      </w:r>
      <w:hyperlink r:id="rId1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http://genet.univ-tours.fr/angers/chap4-2.htm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hyperlink r:id="rId1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https://en.wikipedia.org/wiki/Restriction_enzyme_mediated_integration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hyperlink r:id="rId1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https://www.geves.fr/wp-content/uploads/CTPS_CS_Etude_NBT_difCP-CS_Fev18.pdf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hyperlink r:id="rId1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https://www.theses.fr/2016EPHE3106.pdf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hyperlink r:id="rId1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https://www.gnis-pedagogie.org/biotechnologie-amelioration-transgenese-transfert-direct.html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Schéma Agrobacter</w:t>
      </w:r>
      <w:r w:rsidDel="00000000" w:rsidR="00000000" w:rsidRPr="00000000">
        <w:rPr>
          <w:rtl w:val="0"/>
        </w:rPr>
        <w:t xml:space="preserve">ium tumefaciens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: </w:t>
      </w:r>
      <w:hyperlink r:id="rId1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https://www.gnis-pedagogie.org/photos/biotech-27---etapes-transgenese.jpg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microinjection: </w:t>
      </w: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https://www.researchgate.net/profile/Ananta_Das6/publication/323541415/figure/fig1/AS:600180080517121@1520105490280/DNA-microinjection-method-of-producing-transgenic-animals.png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Lipofection : </w:t>
      </w: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https://ibidi.com/img/cms/applications/transfection/TR_M_Lipofection.jpg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REMI : </w:t>
      </w: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https://www.bioutils.ch/ckeditor_assets/attachments/29/restriction1.jpg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</w:r>
    </w:p>
    <w:sectPr>
      <w:pgSz w:h="16838" w:w="11906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6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054A23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Paragraphedeliste">
    <w:name w:val="List Paragraph"/>
    <w:basedOn w:val="Normal"/>
    <w:uiPriority w:val="34"/>
    <w:qFormat w:val="1"/>
    <w:rsid w:val="00054A23"/>
    <w:pPr>
      <w:ind w:left="720"/>
      <w:contextualSpacing w:val="1"/>
    </w:pPr>
  </w:style>
  <w:style w:type="character" w:styleId="Lienhypertexte">
    <w:name w:val="Hyperlink"/>
    <w:basedOn w:val="Policepardfaut"/>
    <w:uiPriority w:val="99"/>
    <w:unhideWhenUsed w:val="1"/>
    <w:rsid w:val="00054A23"/>
    <w:rPr>
      <w:color w:val="0000ff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genet.univ-tours.fr/angers/chap4-2.htm" TargetMode="External"/><Relationship Id="rId10" Type="http://schemas.openxmlformats.org/officeDocument/2006/relationships/image" Target="media/image4.png"/><Relationship Id="rId13" Type="http://schemas.openxmlformats.org/officeDocument/2006/relationships/hyperlink" Target="https://www.geves.fr/wp-content/uploads/CTPS_CS_Etude_NBT_difCP-CS_Fev18.pdf" TargetMode="External"/><Relationship Id="rId12" Type="http://schemas.openxmlformats.org/officeDocument/2006/relationships/hyperlink" Target="https://en.wikipedia.org/wiki/Restriction_enzyme_mediated_integration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hyperlink" Target="https://www.gnis-pedagogie.org/biotechnologie-amelioration-transgenese-transfert-direct.html" TargetMode="External"/><Relationship Id="rId14" Type="http://schemas.openxmlformats.org/officeDocument/2006/relationships/hyperlink" Target="https://www.theses.fr/2016EPHE3106.pdf" TargetMode="External"/><Relationship Id="rId17" Type="http://schemas.openxmlformats.org/officeDocument/2006/relationships/hyperlink" Target="https://www.researchgate.net/profile/Ananta_Das6/publication/323541415/figure/fig1/AS:600180080517121@1520105490280/DNA-microinjection-method-of-producing-transgenic-animals.png" TargetMode="External"/><Relationship Id="rId16" Type="http://schemas.openxmlformats.org/officeDocument/2006/relationships/hyperlink" Target="https://www.gnis-pedagogie.org/photos/biotech-27---etapes-transgenese.jpg" TargetMode="External"/><Relationship Id="rId5" Type="http://schemas.openxmlformats.org/officeDocument/2006/relationships/styles" Target="styles.xml"/><Relationship Id="rId19" Type="http://schemas.openxmlformats.org/officeDocument/2006/relationships/hyperlink" Target="https://www.bioutils.ch/ckeditor_assets/attachments/29/restriction1.jpg" TargetMode="External"/><Relationship Id="rId6" Type="http://schemas.openxmlformats.org/officeDocument/2006/relationships/customXml" Target="../customXML/item1.xml"/><Relationship Id="rId18" Type="http://schemas.openxmlformats.org/officeDocument/2006/relationships/hyperlink" Target="https://ibidi.com/img/cms/applications/transfection/TR_M_Lipofection.jpg" TargetMode="External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X6EhWTuH8pXIYbgIGw98YOENgkA==">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2019-09-26T05:26:00Z</dcterms:created>
  <dc:creator>victoire vion</dc:creator>
</cp:coreProperties>
</file>