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Gènes rapporteurs (dont GUS et Luciférase)</w:t>
      </w:r>
    </w:p>
    <w:p w:rsidR="00000000" w:rsidDel="00000000" w:rsidP="00000000" w:rsidRDefault="00000000" w:rsidRPr="00000000" w14:paraId="00000002">
      <w:pPr>
        <w:rPr>
          <w:b w:val="1"/>
          <w:sz w:val="40"/>
          <w:szCs w:val="40"/>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Principe :</w:t>
      </w:r>
    </w:p>
    <w:p w:rsidR="00000000" w:rsidDel="00000000" w:rsidP="00000000" w:rsidRDefault="00000000" w:rsidRPr="00000000" w14:paraId="00000004">
      <w:pPr>
        <w:jc w:val="both"/>
        <w:rPr>
          <w:sz w:val="22"/>
          <w:szCs w:val="22"/>
        </w:rPr>
      </w:pPr>
      <w:r w:rsidDel="00000000" w:rsidR="00000000" w:rsidRPr="00000000">
        <w:rPr>
          <w:sz w:val="22"/>
          <w:szCs w:val="22"/>
          <w:rtl w:val="0"/>
        </w:rPr>
        <w:t xml:space="preserve">Un gène rapporteur est un gène qui permet de mesurer ou de visualiser facilement l’expression d’un autre gène. </w:t>
      </w:r>
    </w:p>
    <w:p w:rsidR="00000000" w:rsidDel="00000000" w:rsidP="00000000" w:rsidRDefault="00000000" w:rsidRPr="00000000" w14:paraId="00000005">
      <w:pPr>
        <w:rPr>
          <w:sz w:val="22"/>
          <w:szCs w:val="22"/>
        </w:rPr>
      </w:pPr>
      <w:r w:rsidDel="00000000" w:rsidR="00000000" w:rsidRPr="00000000">
        <w:rPr>
          <w:rtl w:val="0"/>
        </w:rPr>
      </w:r>
    </w:p>
    <w:p w:rsidR="00000000" w:rsidDel="00000000" w:rsidP="00000000" w:rsidRDefault="00000000" w:rsidRPr="00000000" w14:paraId="00000006">
      <w:pPr>
        <w:rPr>
          <w:sz w:val="22"/>
          <w:szCs w:val="22"/>
        </w:rPr>
      </w:pPr>
      <w:r w:rsidDel="00000000" w:rsidR="00000000" w:rsidRPr="00000000">
        <w:rPr>
          <w:rtl w:val="0"/>
        </w:rPr>
      </w:r>
    </w:p>
    <w:p w:rsidR="00000000" w:rsidDel="00000000" w:rsidP="00000000" w:rsidRDefault="00000000" w:rsidRPr="00000000" w14:paraId="00000007">
      <w:pPr>
        <w:rPr>
          <w:b w:val="1"/>
          <w:sz w:val="28"/>
          <w:szCs w:val="28"/>
        </w:rPr>
      </w:pPr>
      <w:r w:rsidDel="00000000" w:rsidR="00000000" w:rsidRPr="00000000">
        <w:rPr>
          <w:b w:val="1"/>
          <w:sz w:val="28"/>
          <w:szCs w:val="28"/>
          <w:rtl w:val="0"/>
        </w:rPr>
        <w:t xml:space="preserve">Description : </w:t>
      </w:r>
    </w:p>
    <w:p w:rsidR="00000000" w:rsidDel="00000000" w:rsidP="00000000" w:rsidRDefault="00000000" w:rsidRPr="00000000" w14:paraId="00000008">
      <w:pPr>
        <w:jc w:val="both"/>
        <w:rPr>
          <w:sz w:val="22"/>
          <w:szCs w:val="22"/>
        </w:rPr>
      </w:pPr>
      <w:r w:rsidDel="00000000" w:rsidR="00000000" w:rsidRPr="00000000">
        <w:rPr>
          <w:sz w:val="22"/>
          <w:szCs w:val="22"/>
          <w:rtl w:val="0"/>
        </w:rPr>
        <w:t xml:space="preserve"> Il existe différents gènes rapporteurs, baisés sur différentes propriétés, comme la bioluminescence, la fluorescence ou encore une activité enzymatique connue. </w:t>
      </w:r>
    </w:p>
    <w:p w:rsidR="00000000" w:rsidDel="00000000" w:rsidP="00000000" w:rsidRDefault="00000000" w:rsidRPr="00000000" w14:paraId="00000009">
      <w:pPr>
        <w:jc w:val="both"/>
        <w:rPr>
          <w:sz w:val="22"/>
          <w:szCs w:val="22"/>
        </w:rPr>
      </w:pPr>
      <w:r w:rsidDel="00000000" w:rsidR="00000000" w:rsidRPr="00000000">
        <w:rPr>
          <w:sz w:val="22"/>
          <w:szCs w:val="22"/>
          <w:rtl w:val="0"/>
        </w:rPr>
        <w:t xml:space="preserve">En voici les principaux :</w:t>
      </w:r>
    </w:p>
    <w:p w:rsidR="00000000" w:rsidDel="00000000" w:rsidP="00000000" w:rsidRDefault="00000000" w:rsidRPr="00000000" w14:paraId="0000000A">
      <w:pPr>
        <w:rPr>
          <w:sz w:val="22"/>
          <w:szCs w:val="22"/>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ioluminescence</w:t>
      </w:r>
      <w:r w:rsidDel="00000000" w:rsidR="00000000" w:rsidRPr="00000000">
        <w:rPr>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utilisation majoritairement de gènes codant 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luciférase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plus connue est issu</w:t>
      </w:r>
      <w:r w:rsidDel="00000000" w:rsidR="00000000" w:rsidRPr="00000000">
        <w:rPr>
          <w:sz w:val="22"/>
          <w:szCs w:val="22"/>
          <w:rtl w:val="0"/>
        </w:rPr>
        <w:t xml:space="preserve">e de la luciole </w:t>
      </w:r>
      <w:r w:rsidDel="00000000" w:rsidR="00000000" w:rsidRPr="00000000">
        <w:rPr>
          <w:rFonts w:ascii="Arial" w:cs="Arial" w:eastAsia="Arial" w:hAnsi="Arial"/>
          <w:i w:val="1"/>
          <w:color w:val="222222"/>
          <w:sz w:val="21"/>
          <w:szCs w:val="21"/>
          <w:highlight w:val="white"/>
          <w:rtl w:val="0"/>
        </w:rPr>
        <w:t xml:space="preserve">Photinus pyralis)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Ceux-ci sont associés au gène d’intérêt ou plus souvent mis sous le contr</w:t>
      </w:r>
      <w:r w:rsidDel="00000000" w:rsidR="00000000" w:rsidRPr="00000000">
        <w:rPr>
          <w:sz w:val="22"/>
          <w:szCs w:val="22"/>
          <w:rtl w:val="0"/>
        </w:rPr>
        <w:t xml:space="preserve">ôle du promoteur du gène d’intérêt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 le biais d’un plasmide dans l’orgasme cible et ne s’active donc que lorsque le gène d</w:t>
      </w:r>
      <w:r w:rsidDel="00000000" w:rsidR="00000000" w:rsidRPr="00000000">
        <w:rPr>
          <w:sz w:val="22"/>
          <w:szCs w:val="22"/>
          <w:rtl w:val="0"/>
        </w:rPr>
        <w:t xml:space="preserve">’intérêt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 lui-même actif. Il suffit alors d’ajouter </w:t>
      </w:r>
      <w:r w:rsidDel="00000000" w:rsidR="00000000" w:rsidRPr="00000000">
        <w:rPr>
          <w:sz w:val="22"/>
          <w:szCs w:val="22"/>
          <w:rtl w:val="0"/>
        </w:rPr>
        <w:t xml:space="preserve">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substrat de la luciférase (ATP et luciférine associée) : en s’oxydant, la luciférine va alors mettre, entre autres, de la lumière.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2952750</wp:posOffset>
            </wp:positionH>
            <wp:positionV relativeFrom="paragraph">
              <wp:posOffset>209550</wp:posOffset>
            </wp:positionV>
            <wp:extent cx="3105467" cy="1998568"/>
            <wp:effectExtent b="0" l="0" r="0" t="0"/>
            <wp:wrapSquare wrapText="bothSides" distB="114300" distT="114300" distL="114300" distR="114300"/>
            <wp:docPr id="1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105467" cy="1998568"/>
                    </a:xfrm>
                    <a:prstGeom prst="rect"/>
                    <a:ln/>
                  </pic:spPr>
                </pic:pic>
              </a:graphicData>
            </a:graphic>
          </wp:anchor>
        </w:drawing>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sz w:val="22"/>
          <w:szCs w:val="22"/>
          <w:rtl w:val="0"/>
        </w:rPr>
        <w:t xml:space="preserve"> </w:t>
        <w:tab/>
        <w:tab/>
        <w:tab/>
        <w:tab/>
        <w:tab/>
        <w:t xml:space="preserve">         Figure 1 : Schéma du fonctionnement de la luciférase [2]</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sz w:val="22"/>
          <w:szCs w:val="22"/>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2"/>
          <w:szCs w:val="22"/>
          <w:rtl w:val="0"/>
        </w:rPr>
        <w:t xml:space="preserve">F</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luorescence</w:t>
      </w:r>
      <w:r w:rsidDel="00000000" w:rsidR="00000000" w:rsidRPr="00000000">
        <w:rPr>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utilisation de gènes issus de la méduse </w:t>
      </w:r>
      <w:r w:rsidDel="00000000" w:rsidR="00000000" w:rsidRPr="00000000">
        <w:rPr>
          <w:i w:val="1"/>
          <w:sz w:val="22"/>
          <w:szCs w:val="22"/>
          <w:rtl w:val="0"/>
        </w:rPr>
        <w:t xml:space="preserve">A</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equora victoria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pour 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GFP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reen </w:t>
      </w:r>
      <w:r w:rsidDel="00000000" w:rsidR="00000000" w:rsidRPr="00000000">
        <w:rPr>
          <w:sz w:val="22"/>
          <w:szCs w:val="22"/>
          <w:rtl w:val="0"/>
        </w:rPr>
        <w:t xml:space="preserve">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luorescent </w:t>
      </w:r>
      <w:r w:rsidDel="00000000" w:rsidR="00000000" w:rsidRPr="00000000">
        <w:rPr>
          <w:sz w:val="22"/>
          <w:szCs w:val="22"/>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rotein</w:t>
      </w:r>
      <w:r w:rsidDel="00000000" w:rsidR="00000000" w:rsidRPr="00000000">
        <w:rPr>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Ceux-ci sont associés au gène d’intérêt X (en phase </w:t>
      </w:r>
      <w:r w:rsidDel="00000000" w:rsidR="00000000" w:rsidRPr="00000000">
        <w:rPr>
          <w:sz w:val="22"/>
          <w:szCs w:val="22"/>
          <w:rtl w:val="0"/>
        </w:rPr>
        <w:t xml:space="preserve">car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w:t>
      </w:r>
      <w:r w:rsidDel="00000000" w:rsidR="00000000" w:rsidRPr="00000000">
        <w:rPr>
          <w:sz w:val="22"/>
          <w:szCs w:val="22"/>
          <w:rtl w:val="0"/>
        </w:rPr>
        <w:t xml:space="preserve">’objectif est de fusionner GFP et protéine d’intérêt X)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Lorsque le gène d’intérêt est s’exprimé, une protéine de fusion GFP-X sera produite et de la fluorescence sera détectée à l’endroit de la cellule où la protéine X est normalement présente par excitation de la GFP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à la lampe UV ou en lumière bleu (λ dépendant du GFP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3381375</wp:posOffset>
            </wp:positionH>
            <wp:positionV relativeFrom="paragraph">
              <wp:posOffset>142875</wp:posOffset>
            </wp:positionV>
            <wp:extent cx="2498438" cy="1443354"/>
            <wp:effectExtent b="0" l="0" r="0" t="0"/>
            <wp:wrapSquare wrapText="bothSides" distB="0" distT="0" distL="114300" distR="114300"/>
            <wp:docPr id="1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498438" cy="1443354"/>
                    </a:xfrm>
                    <a:prstGeom prst="rect"/>
                    <a:ln/>
                  </pic:spPr>
                </pic:pic>
              </a:graphicData>
            </a:graphic>
          </wp:anchor>
        </w:drawing>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0" w:right="0" w:firstLine="0"/>
        <w:jc w:val="both"/>
        <w:rPr>
          <w:sz w:val="22"/>
          <w:szCs w:val="22"/>
        </w:rPr>
      </w:pPr>
      <w:r w:rsidDel="00000000" w:rsidR="00000000" w:rsidRPr="00000000">
        <w:rPr>
          <w:sz w:val="22"/>
          <w:szCs w:val="22"/>
          <w:rtl w:val="0"/>
        </w:rPr>
        <w:t xml:space="preserve">    FIgure 2 : Schéma du fonctionnement de la GFP [3]</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4048125</wp:posOffset>
            </wp:positionH>
            <wp:positionV relativeFrom="paragraph">
              <wp:posOffset>19050</wp:posOffset>
            </wp:positionV>
            <wp:extent cx="1933258" cy="2790751"/>
            <wp:effectExtent b="0" l="0" r="0" t="0"/>
            <wp:wrapSquare wrapText="bothSides" distB="0" distT="0" distL="114300" distR="114300"/>
            <wp:docPr id="1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933258" cy="2790751"/>
                    </a:xfrm>
                    <a:prstGeom prst="rect"/>
                    <a:ln/>
                  </pic:spPr>
                </pic:pic>
              </a:graphicData>
            </a:graphic>
          </wp:anchor>
        </w:drawing>
      </w:r>
    </w:p>
    <w:p w:rsidR="00000000" w:rsidDel="00000000" w:rsidP="00000000" w:rsidRDefault="00000000" w:rsidRPr="00000000" w14:paraId="00000011">
      <w:pPr>
        <w:rPr>
          <w:sz w:val="22"/>
          <w:szCs w:val="22"/>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b w:val="1"/>
          <w:sz w:val="22"/>
          <w:szCs w:val="22"/>
          <w:rtl w:val="0"/>
        </w:rPr>
        <w:t xml:space="preserve">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ctivité enzymatique:  </w:t>
      </w:r>
      <w:r w:rsidDel="00000000" w:rsidR="00000000" w:rsidRPr="00000000">
        <w:rPr>
          <w:sz w:val="22"/>
          <w:szCs w:val="22"/>
          <w:rtl w:val="0"/>
        </w:rPr>
        <w:t xml:space="preserve">2 gènes sont très utilisés: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 gène lacZ provenant d’</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E. </w:t>
      </w:r>
      <w:r w:rsidDel="00000000" w:rsidR="00000000" w:rsidRPr="00000000">
        <w:rPr>
          <w:b w:val="1"/>
          <w:i w:val="1"/>
          <w:sz w:val="22"/>
          <w:szCs w:val="22"/>
          <w:rtl w:val="0"/>
        </w:rPr>
        <w:t xml:space="preserve">c</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oli</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codant l’enzyme β-galactosidase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lorsque les bactéries/cellules sont placées dans un milieu contenant de l’IPTG ('isopropyl béta-D-1-thiogalactopyranoside, proche du lactose) elles produisent alors un substrat analogue au X-ga</w:t>
      </w:r>
      <w:r w:rsidDel="00000000" w:rsidR="00000000" w:rsidRPr="00000000">
        <w:rPr>
          <w:sz w:val="22"/>
          <w:szCs w:val="22"/>
          <w:rtl w:val="0"/>
        </w:rPr>
        <w:t xml:space="preserv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et appara</w:t>
      </w:r>
      <w:r w:rsidDel="00000000" w:rsidR="00000000" w:rsidRPr="00000000">
        <w:rPr>
          <w:sz w:val="22"/>
          <w:szCs w:val="22"/>
          <w:rtl w:val="0"/>
        </w:rPr>
        <w:t xml:space="preserve">î</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tront bleues</w:t>
        <w:tab/>
        <w:t xml:space="preserve">après hydrolyse si elles expriment le gène ciblé.</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sz w:val="22"/>
          <w:szCs w:val="22"/>
        </w:rPr>
      </w:pPr>
      <w:r w:rsidDel="00000000" w:rsidR="00000000" w:rsidRPr="00000000">
        <w:rPr>
          <w:sz w:val="22"/>
          <w:szCs w:val="22"/>
          <w:rtl w:val="0"/>
        </w:rPr>
        <w:t xml:space="preserve">(Figure 3 : Schéma du fonctionnement du gène lacZ [4])</w:t>
      </w:r>
    </w:p>
    <w:p w:rsidR="00000000" w:rsidDel="00000000" w:rsidP="00000000" w:rsidRDefault="00000000" w:rsidRPr="00000000" w14:paraId="0000001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 gène GUS également issu d’</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E. </w:t>
      </w:r>
      <w:r w:rsidDel="00000000" w:rsidR="00000000" w:rsidRPr="00000000">
        <w:rPr>
          <w:b w:val="1"/>
          <w:i w:val="1"/>
          <w:sz w:val="22"/>
          <w:szCs w:val="22"/>
          <w:rtl w:val="0"/>
        </w:rPr>
        <w:t xml:space="preserve">c</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oli</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codant l’enzyme hydrolase β-gluc</w:t>
      </w:r>
      <w:r w:rsidDel="00000000" w:rsidR="00000000" w:rsidRPr="00000000">
        <w:rPr>
          <w:b w:val="1"/>
          <w:sz w:val="22"/>
          <w:szCs w:val="22"/>
          <w:rtl w:val="0"/>
        </w:rPr>
        <w:t xml:space="preserve">u</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ronidase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lorsque les bactéries/cellules sont placées dans un milieu contenant du substrat X-Gluc, elles produisent alors un produit précipité bleu si elles expriment le gène ciblé. D</w:t>
      </w:r>
      <w:r w:rsidDel="00000000" w:rsidR="00000000" w:rsidRPr="00000000">
        <w:rPr>
          <w:sz w:val="22"/>
          <w:szCs w:val="22"/>
          <w:rtl w:val="0"/>
        </w:rPr>
        <w:t xml:space="preserve">’autres substrats peuvent être utilisés (le substrat MUG va donner un produit fluorescent après hydrolyse, ce qui permettra une quantification que ne permet pas ou peu le X-Gluc).</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sz w:val="22"/>
          <w:szCs w:val="22"/>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sz w:val="22"/>
          <w:szCs w:val="22"/>
        </w:rPr>
      </w:pPr>
      <w:r w:rsidDel="00000000" w:rsidR="00000000" w:rsidRPr="00000000">
        <w:rPr>
          <w:rtl w:val="0"/>
        </w:rPr>
      </w:r>
    </w:p>
    <w:tbl>
      <w:tblPr>
        <w:tblStyle w:val="Table1"/>
        <w:tblW w:w="11595.0" w:type="dxa"/>
        <w:jc w:val="left"/>
        <w:tblInd w:w="-11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5325"/>
        <w:gridCol w:w="5055"/>
        <w:tblGridChange w:id="0">
          <w:tblGrid>
            <w:gridCol w:w="1215"/>
            <w:gridCol w:w="5325"/>
            <w:gridCol w:w="5055"/>
          </w:tblGrid>
        </w:tblGridChange>
      </w:tblGrid>
      <w:tr>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Avantages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Inconvénients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Luciférase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jc w:val="center"/>
              <w:rPr>
                <w:sz w:val="22"/>
                <w:szCs w:val="22"/>
              </w:rPr>
            </w:pPr>
            <w:r w:rsidDel="00000000" w:rsidR="00000000" w:rsidRPr="00000000">
              <w:rPr>
                <w:sz w:val="22"/>
                <w:szCs w:val="22"/>
                <w:rtl w:val="0"/>
              </w:rPr>
              <w:t xml:space="preserve">Observable sur des sujets vivants</w:t>
            </w:r>
          </w:p>
          <w:p w:rsidR="00000000" w:rsidDel="00000000" w:rsidP="00000000" w:rsidRDefault="00000000" w:rsidRPr="00000000" w14:paraId="0000001E">
            <w:pPr>
              <w:jc w:val="center"/>
              <w:rPr>
                <w:sz w:val="22"/>
                <w:szCs w:val="22"/>
              </w:rPr>
            </w:pPr>
            <w:r w:rsidDel="00000000" w:rsidR="00000000" w:rsidRPr="00000000">
              <w:rPr>
                <w:sz w:val="22"/>
                <w:szCs w:val="22"/>
                <w:rtl w:val="0"/>
              </w:rPr>
              <w:t xml:space="preserve">Très peu d’auto-fluorescence</w:t>
            </w:r>
          </w:p>
          <w:p w:rsidR="00000000" w:rsidDel="00000000" w:rsidP="00000000" w:rsidRDefault="00000000" w:rsidRPr="00000000" w14:paraId="0000001F">
            <w:pPr>
              <w:jc w:val="center"/>
              <w:rPr>
                <w:sz w:val="22"/>
                <w:szCs w:val="22"/>
              </w:rPr>
            </w:pPr>
            <w:r w:rsidDel="00000000" w:rsidR="00000000" w:rsidRPr="00000000">
              <w:rPr>
                <w:sz w:val="22"/>
                <w:szCs w:val="22"/>
                <w:rtl w:val="0"/>
              </w:rPr>
              <w:t xml:space="preserve">Fabricable en laboratoire</w:t>
            </w:r>
          </w:p>
          <w:p w:rsidR="00000000" w:rsidDel="00000000" w:rsidP="00000000" w:rsidRDefault="00000000" w:rsidRPr="00000000" w14:paraId="00000020">
            <w:pPr>
              <w:jc w:val="center"/>
              <w:rPr>
                <w:sz w:val="22"/>
                <w:szCs w:val="22"/>
              </w:rPr>
            </w:pPr>
            <w:r w:rsidDel="00000000" w:rsidR="00000000" w:rsidRPr="00000000">
              <w:rPr>
                <w:sz w:val="22"/>
                <w:szCs w:val="22"/>
                <w:rtl w:val="0"/>
              </w:rPr>
              <w:t xml:space="preserve">Utilisable indifféremment chez les eucarotes et procaryotes</w:t>
            </w:r>
          </w:p>
          <w:p w:rsidR="00000000" w:rsidDel="00000000" w:rsidP="00000000" w:rsidRDefault="00000000" w:rsidRPr="00000000" w14:paraId="00000021">
            <w:pPr>
              <w:jc w:val="center"/>
              <w:rPr>
                <w:sz w:val="22"/>
                <w:szCs w:val="22"/>
              </w:rPr>
            </w:pPr>
            <w:r w:rsidDel="00000000" w:rsidR="00000000" w:rsidRPr="00000000">
              <w:rPr>
                <w:sz w:val="22"/>
                <w:szCs w:val="22"/>
                <w:rtl w:val="0"/>
              </w:rPr>
              <w:t xml:space="preserve">Ne nécessite pas de modification post-traductionnelle -&gt; résultats instantanés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jc w:val="center"/>
              <w:rPr>
                <w:sz w:val="22"/>
                <w:szCs w:val="22"/>
              </w:rPr>
            </w:pPr>
            <w:r w:rsidDel="00000000" w:rsidR="00000000" w:rsidRPr="00000000">
              <w:rPr>
                <w:sz w:val="22"/>
                <w:szCs w:val="22"/>
                <w:rtl w:val="0"/>
              </w:rPr>
              <w:t xml:space="preserve">Intensité de la bioluminescence peut être impactée par environnement en milieu </w:t>
            </w:r>
            <w:r w:rsidDel="00000000" w:rsidR="00000000" w:rsidRPr="00000000">
              <w:rPr>
                <w:i w:val="1"/>
                <w:sz w:val="22"/>
                <w:szCs w:val="22"/>
                <w:rtl w:val="0"/>
              </w:rPr>
              <w:t xml:space="preserve">in </w:t>
            </w:r>
            <w:r w:rsidDel="00000000" w:rsidR="00000000" w:rsidRPr="00000000">
              <w:rPr>
                <w:sz w:val="22"/>
                <w:szCs w:val="22"/>
                <w:rtl w:val="0"/>
              </w:rPr>
              <w:t xml:space="preserve">vivo</w:t>
            </w:r>
          </w:p>
          <w:p w:rsidR="00000000" w:rsidDel="00000000" w:rsidP="00000000" w:rsidRDefault="00000000" w:rsidRPr="00000000" w14:paraId="00000023">
            <w:pPr>
              <w:jc w:val="center"/>
              <w:rPr>
                <w:sz w:val="22"/>
                <w:szCs w:val="22"/>
              </w:rPr>
            </w:pPr>
            <w:r w:rsidDel="00000000" w:rsidR="00000000" w:rsidRPr="00000000">
              <w:rPr>
                <w:sz w:val="22"/>
                <w:szCs w:val="22"/>
                <w:rtl w:val="0"/>
              </w:rPr>
              <w:t xml:space="preserve">Dosage d’une activité enzymatique</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GFP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jc w:val="center"/>
              <w:rPr>
                <w:sz w:val="22"/>
                <w:szCs w:val="22"/>
              </w:rPr>
            </w:pPr>
            <w:r w:rsidDel="00000000" w:rsidR="00000000" w:rsidRPr="00000000">
              <w:rPr>
                <w:sz w:val="22"/>
                <w:szCs w:val="22"/>
                <w:rtl w:val="0"/>
              </w:rPr>
              <w:t xml:space="preserve">Observation possible sur des sujets vivants</w:t>
            </w:r>
          </w:p>
          <w:p w:rsidR="00000000" w:rsidDel="00000000" w:rsidP="00000000" w:rsidRDefault="00000000" w:rsidRPr="00000000" w14:paraId="00000027">
            <w:pPr>
              <w:jc w:val="center"/>
              <w:rPr>
                <w:sz w:val="22"/>
                <w:szCs w:val="22"/>
              </w:rPr>
            </w:pPr>
            <w:r w:rsidDel="00000000" w:rsidR="00000000" w:rsidRPr="00000000">
              <w:rPr>
                <w:sz w:val="22"/>
                <w:szCs w:val="22"/>
                <w:rtl w:val="0"/>
              </w:rPr>
              <w:t xml:space="preserve">Quantification relative de l’expression du gène ciblé par quantification relative de l’intensité de la fluorescence</w:t>
            </w:r>
          </w:p>
          <w:p w:rsidR="00000000" w:rsidDel="00000000" w:rsidP="00000000" w:rsidRDefault="00000000" w:rsidRPr="00000000" w14:paraId="00000028">
            <w:pPr>
              <w:jc w:val="center"/>
              <w:rPr>
                <w:sz w:val="22"/>
                <w:szCs w:val="22"/>
              </w:rPr>
            </w:pPr>
            <w:r w:rsidDel="00000000" w:rsidR="00000000" w:rsidRPr="00000000">
              <w:rPr>
                <w:sz w:val="22"/>
                <w:szCs w:val="22"/>
                <w:rtl w:val="0"/>
              </w:rPr>
              <w:t xml:space="preserve">Etude possible de l’expression d’un gène dans une seule cellule (lieu et moment de l’expression, localisation de l’expression)</w:t>
            </w:r>
          </w:p>
          <w:p w:rsidR="00000000" w:rsidDel="00000000" w:rsidP="00000000" w:rsidRDefault="00000000" w:rsidRPr="00000000" w14:paraId="00000029">
            <w:pPr>
              <w:jc w:val="center"/>
              <w:rPr>
                <w:sz w:val="22"/>
                <w:szCs w:val="22"/>
              </w:rPr>
            </w:pPr>
            <w:r w:rsidDel="00000000" w:rsidR="00000000" w:rsidRPr="00000000">
              <w:rPr>
                <w:sz w:val="22"/>
                <w:szCs w:val="22"/>
                <w:rtl w:val="0"/>
              </w:rPr>
              <w:t xml:space="preserve">Pas de préparation ou de fixation nécessaires pour la cellule étudiée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jc w:val="center"/>
              <w:rPr>
                <w:sz w:val="22"/>
                <w:szCs w:val="22"/>
              </w:rPr>
            </w:pPr>
            <w:r w:rsidDel="00000000" w:rsidR="00000000" w:rsidRPr="00000000">
              <w:rPr>
                <w:sz w:val="22"/>
                <w:szCs w:val="22"/>
                <w:rtl w:val="0"/>
              </w:rPr>
              <w:t xml:space="preserve">Molécule relativement petite (27 kDa), inerte et non toxique qui n’interfère dans aucunes interactions cellulaires</w:t>
            </w:r>
          </w:p>
          <w:p w:rsidR="00000000" w:rsidDel="00000000" w:rsidP="00000000" w:rsidRDefault="00000000" w:rsidRPr="00000000" w14:paraId="0000002B">
            <w:pPr>
              <w:jc w:val="center"/>
              <w:rPr>
                <w:sz w:val="22"/>
                <w:szCs w:val="22"/>
              </w:rPr>
            </w:pPr>
            <w:r w:rsidDel="00000000" w:rsidR="00000000" w:rsidRPr="00000000">
              <w:rPr>
                <w:sz w:val="22"/>
                <w:szCs w:val="22"/>
                <w:rtl w:val="0"/>
              </w:rPr>
              <w:t xml:space="preserve">Techniquement difficile de détecter de trop faibles intensités de fluorescence + présence d’un bruit de fond</w:t>
            </w:r>
          </w:p>
          <w:p w:rsidR="00000000" w:rsidDel="00000000" w:rsidP="00000000" w:rsidRDefault="00000000" w:rsidRPr="00000000" w14:paraId="0000002C">
            <w:pPr>
              <w:jc w:val="center"/>
              <w:rPr>
                <w:sz w:val="22"/>
                <w:szCs w:val="22"/>
              </w:rPr>
            </w:pPr>
            <w:r w:rsidDel="00000000" w:rsidR="00000000" w:rsidRPr="00000000">
              <w:rPr>
                <w:sz w:val="22"/>
                <w:szCs w:val="22"/>
                <w:rtl w:val="0"/>
              </w:rPr>
              <w:t xml:space="preserve">Etape d’oxydation de la tyrosi</w:t>
            </w:r>
            <w:r w:rsidDel="00000000" w:rsidR="00000000" w:rsidRPr="00000000">
              <w:rPr>
                <w:sz w:val="22"/>
                <w:szCs w:val="22"/>
                <w:rtl w:val="0"/>
              </w:rPr>
              <w:t xml:space="preserve">ne limitante =&gt; toutes les GFP synthétisées ne sont pas fluorescentes lors d’une synthèse importante</w:t>
            </w:r>
          </w:p>
          <w:p w:rsidR="00000000" w:rsidDel="00000000" w:rsidP="00000000" w:rsidRDefault="00000000" w:rsidRPr="00000000" w14:paraId="0000002D">
            <w:pPr>
              <w:jc w:val="center"/>
              <w:rPr>
                <w:sz w:val="22"/>
                <w:szCs w:val="22"/>
              </w:rPr>
            </w:pPr>
            <w:r w:rsidDel="00000000" w:rsidR="00000000" w:rsidRPr="00000000">
              <w:rPr>
                <w:sz w:val="22"/>
                <w:szCs w:val="22"/>
                <w:rtl w:val="0"/>
              </w:rPr>
              <w:t xml:space="preserve">Temps de latence entre synthèse de GFP et sa fluorescence </w:t>
            </w:r>
            <w:r w:rsidDel="00000000" w:rsidR="00000000" w:rsidRPr="00000000">
              <w:rPr>
                <w:sz w:val="22"/>
                <w:szCs w:val="22"/>
                <w:rtl w:val="0"/>
              </w:rPr>
              <w:t xml:space="preserve">conséquent</w:t>
            </w:r>
            <w:r w:rsidDel="00000000" w:rsidR="00000000" w:rsidRPr="00000000">
              <w:rPr>
                <w:sz w:val="22"/>
                <w:szCs w:val="22"/>
                <w:rtl w:val="0"/>
              </w:rPr>
              <w:t xml:space="preserve"> (temps précis non trouvé)</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rPr>
                <w:sz w:val="22"/>
                <w:szCs w:val="22"/>
              </w:rPr>
            </w:pPr>
            <w:r w:rsidDel="00000000" w:rsidR="00000000" w:rsidRPr="00000000">
              <w:rPr>
                <w:sz w:val="22"/>
                <w:szCs w:val="22"/>
                <w:rtl w:val="0"/>
              </w:rPr>
              <w:t xml:space="preserve">β-galactosidase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jc w:val="center"/>
              <w:rPr>
                <w:sz w:val="22"/>
                <w:szCs w:val="22"/>
              </w:rPr>
            </w:pPr>
            <w:r w:rsidDel="00000000" w:rsidR="00000000" w:rsidRPr="00000000">
              <w:rPr>
                <w:sz w:val="22"/>
                <w:szCs w:val="22"/>
                <w:rtl w:val="0"/>
              </w:rPr>
              <w:t xml:space="preserve">Utilisable en tant que </w:t>
            </w:r>
            <w:r w:rsidDel="00000000" w:rsidR="00000000" w:rsidRPr="00000000">
              <w:rPr>
                <w:sz w:val="22"/>
                <w:szCs w:val="22"/>
                <w:rtl w:val="0"/>
              </w:rPr>
              <w:t xml:space="preserve">marqueur</w:t>
            </w:r>
            <w:r w:rsidDel="00000000" w:rsidR="00000000" w:rsidRPr="00000000">
              <w:rPr>
                <w:rtl w:val="0"/>
              </w:rPr>
            </w:r>
          </w:p>
          <w:p w:rsidR="00000000" w:rsidDel="00000000" w:rsidP="00000000" w:rsidRDefault="00000000" w:rsidRPr="00000000" w14:paraId="00000030">
            <w:pPr>
              <w:jc w:val="center"/>
              <w:rPr>
                <w:sz w:val="22"/>
                <w:szCs w:val="22"/>
              </w:rPr>
            </w:pPr>
            <w:r w:rsidDel="00000000" w:rsidR="00000000" w:rsidRPr="00000000">
              <w:rPr>
                <w:sz w:val="22"/>
                <w:szCs w:val="22"/>
                <w:rtl w:val="0"/>
              </w:rPr>
              <w:t xml:space="preserve">(voir fiche Double Hybride)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jc w:val="center"/>
              <w:rPr>
                <w:sz w:val="22"/>
                <w:szCs w:val="22"/>
              </w:rPr>
            </w:pPr>
            <w:r w:rsidDel="00000000" w:rsidR="00000000" w:rsidRPr="00000000">
              <w:rPr>
                <w:sz w:val="22"/>
                <w:szCs w:val="22"/>
                <w:rtl w:val="0"/>
              </w:rPr>
              <w:t xml:space="preserve">Dosage d’une activité enzymatique</w:t>
            </w:r>
          </w:p>
          <w:p w:rsidR="00000000" w:rsidDel="00000000" w:rsidP="00000000" w:rsidRDefault="00000000" w:rsidRPr="00000000" w14:paraId="00000032">
            <w:pPr>
              <w:jc w:val="center"/>
              <w:rPr>
                <w:sz w:val="22"/>
                <w:szCs w:val="22"/>
              </w:rPr>
            </w:pPr>
            <w:r w:rsidDel="00000000" w:rsidR="00000000" w:rsidRPr="00000000">
              <w:rPr>
                <w:sz w:val="22"/>
                <w:szCs w:val="22"/>
                <w:rtl w:val="0"/>
              </w:rPr>
              <w:t xml:space="preserve">Nécessite la fixation de la cellule au préalable (ne permet pas l’observation d’un suivi sur cellule vivante)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rPr>
                <w:sz w:val="22"/>
                <w:szCs w:val="22"/>
              </w:rPr>
            </w:pPr>
            <w:r w:rsidDel="00000000" w:rsidR="00000000" w:rsidRPr="00000000">
              <w:rPr>
                <w:sz w:val="22"/>
                <w:szCs w:val="22"/>
                <w:rtl w:val="0"/>
              </w:rPr>
              <w:t xml:space="preserve">β-glucuronidase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jc w:val="center"/>
              <w:rPr>
                <w:sz w:val="22"/>
                <w:szCs w:val="22"/>
              </w:rPr>
            </w:pPr>
            <w:r w:rsidDel="00000000" w:rsidR="00000000" w:rsidRPr="00000000">
              <w:rPr>
                <w:sz w:val="22"/>
                <w:szCs w:val="22"/>
                <w:rtl w:val="0"/>
              </w:rPr>
              <w:t xml:space="preserve">Très utilisé chez les plantes</w:t>
            </w:r>
          </w:p>
          <w:p w:rsidR="00000000" w:rsidDel="00000000" w:rsidP="00000000" w:rsidRDefault="00000000" w:rsidRPr="00000000" w14:paraId="00000035">
            <w:pPr>
              <w:jc w:val="center"/>
              <w:rPr>
                <w:sz w:val="22"/>
                <w:szCs w:val="22"/>
              </w:rPr>
            </w:pPr>
            <w:r w:rsidDel="00000000" w:rsidR="00000000" w:rsidRPr="00000000">
              <w:rPr>
                <w:sz w:val="22"/>
                <w:szCs w:val="22"/>
                <w:rtl w:val="0"/>
              </w:rPr>
              <w:t xml:space="preserve">Si fusionné avec promoteur d’un gène d’intérêt -&gt; visualisation des territoires d’activité</w:t>
            </w:r>
          </w:p>
          <w:p w:rsidR="00000000" w:rsidDel="00000000" w:rsidP="00000000" w:rsidRDefault="00000000" w:rsidRPr="00000000" w14:paraId="00000036">
            <w:pPr>
              <w:jc w:val="center"/>
              <w:rPr>
                <w:sz w:val="22"/>
                <w:szCs w:val="22"/>
              </w:rPr>
            </w:pPr>
            <w:r w:rsidDel="00000000" w:rsidR="00000000" w:rsidRPr="00000000">
              <w:rPr>
                <w:sz w:val="22"/>
                <w:szCs w:val="22"/>
                <w:rtl w:val="0"/>
              </w:rPr>
              <w:t xml:space="preserve">Visualisation précise au niveau cellulaire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jc w:val="center"/>
              <w:rPr>
                <w:sz w:val="22"/>
                <w:szCs w:val="22"/>
              </w:rPr>
            </w:pPr>
            <w:r w:rsidDel="00000000" w:rsidR="00000000" w:rsidRPr="00000000">
              <w:rPr>
                <w:sz w:val="22"/>
                <w:szCs w:val="22"/>
                <w:rtl w:val="0"/>
              </w:rPr>
              <w:t xml:space="preserve">Peu utile pour la plupart des vertébrés</w:t>
            </w:r>
          </w:p>
        </w:tc>
      </w:tr>
    </w:tbl>
    <w:p w:rsidR="00000000" w:rsidDel="00000000" w:rsidP="00000000" w:rsidRDefault="00000000" w:rsidRPr="00000000" w14:paraId="00000038">
      <w:pPr>
        <w:rPr>
          <w:sz w:val="22"/>
          <w:szCs w:val="22"/>
        </w:rPr>
      </w:pPr>
      <w:r w:rsidDel="00000000" w:rsidR="00000000" w:rsidRPr="00000000">
        <w:rPr>
          <w:rtl w:val="0"/>
        </w:rPr>
      </w:r>
    </w:p>
    <w:p w:rsidR="00000000" w:rsidDel="00000000" w:rsidP="00000000" w:rsidRDefault="00000000" w:rsidRPr="00000000" w14:paraId="00000039">
      <w:pPr>
        <w:rPr>
          <w:sz w:val="22"/>
          <w:szCs w:val="22"/>
        </w:rPr>
      </w:pPr>
      <w:r w:rsidDel="00000000" w:rsidR="00000000" w:rsidRPr="00000000">
        <w:rPr>
          <w:rtl w:val="0"/>
        </w:rPr>
      </w:r>
    </w:p>
    <w:p w:rsidR="00000000" w:rsidDel="00000000" w:rsidP="00000000" w:rsidRDefault="00000000" w:rsidRPr="00000000" w14:paraId="0000003A">
      <w:pPr>
        <w:rPr>
          <w:b w:val="1"/>
          <w:sz w:val="28"/>
          <w:szCs w:val="28"/>
        </w:rPr>
      </w:pPr>
      <w:r w:rsidDel="00000000" w:rsidR="00000000" w:rsidRPr="00000000">
        <w:rPr>
          <w:b w:val="1"/>
          <w:sz w:val="28"/>
          <w:szCs w:val="28"/>
          <w:rtl w:val="0"/>
        </w:rPr>
        <w:t xml:space="preserve">Application :</w:t>
      </w:r>
    </w:p>
    <w:p w:rsidR="00000000" w:rsidDel="00000000" w:rsidP="00000000" w:rsidRDefault="00000000" w:rsidRPr="00000000" w14:paraId="0000003B">
      <w:pPr>
        <w:jc w:val="both"/>
        <w:rPr>
          <w:sz w:val="22"/>
          <w:szCs w:val="22"/>
        </w:rPr>
      </w:pPr>
      <w:r w:rsidDel="00000000" w:rsidR="00000000" w:rsidRPr="00000000">
        <w:rPr>
          <w:rtl w:val="0"/>
        </w:rPr>
      </w:r>
    </w:p>
    <w:p w:rsidR="00000000" w:rsidDel="00000000" w:rsidP="00000000" w:rsidRDefault="00000000" w:rsidRPr="00000000" w14:paraId="0000003C">
      <w:pPr>
        <w:jc w:val="both"/>
        <w:rPr>
          <w:sz w:val="22"/>
          <w:szCs w:val="22"/>
        </w:rPr>
      </w:pPr>
      <w:r w:rsidDel="00000000" w:rsidR="00000000" w:rsidRPr="00000000">
        <w:rPr>
          <w:sz w:val="22"/>
          <w:szCs w:val="22"/>
          <w:rtl w:val="0"/>
        </w:rPr>
        <w:t xml:space="preserve">La possibilité d’utiliser cet outil touche de nombreux domaines (médecine, agronomie, recherche fondamentale…). Elle touche évidemment la médecine, en permettant de comprendre et suivre l’activité de gènes et leur lieu d’action. Liée à d’autres techniques, il est alors possible de suivre également les effets des promoteurs, ou encore de protéines. Il est ainsi envisageable de mieux comprendre certaines maladies par exemple.</w:t>
      </w:r>
    </w:p>
    <w:p w:rsidR="00000000" w:rsidDel="00000000" w:rsidP="00000000" w:rsidRDefault="00000000" w:rsidRPr="00000000" w14:paraId="0000003D">
      <w:pPr>
        <w:jc w:val="both"/>
        <w:rPr>
          <w:sz w:val="22"/>
          <w:szCs w:val="22"/>
        </w:rPr>
      </w:pPr>
      <w:r w:rsidDel="00000000" w:rsidR="00000000" w:rsidRPr="00000000">
        <w:rPr>
          <w:sz w:val="22"/>
          <w:szCs w:val="22"/>
          <w:rtl w:val="0"/>
        </w:rPr>
        <w:t xml:space="preserve">On peut donner l’exemple d’une « lignée cellulaire exprimant la GFP sous la dépendance d’un promoteur HIV-1 long terminal repeat qui émet une fluorescence après infection de ces cellules. Cette lignée cellulaire devient alors un outil de criblage rapide et sensible de molécules antivirales. Cependant, à ce jour, peu d’études rapportent l’utilisation du gène de la GFP comme gène rapporteur, seuls quelques vecteurs tels que les adénovirus utilisés en thérapie génique ont été développés. » ([6])</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46">
      <w:pPr>
        <w:jc w:val="center"/>
        <w:rPr>
          <w:b w:val="1"/>
          <w:sz w:val="40"/>
          <w:szCs w:val="40"/>
        </w:rPr>
      </w:pPr>
      <w:r w:rsidDel="00000000" w:rsidR="00000000" w:rsidRPr="00000000">
        <w:rPr>
          <w:b w:val="1"/>
          <w:sz w:val="40"/>
          <w:szCs w:val="40"/>
          <w:rtl w:val="0"/>
        </w:rPr>
        <w:t xml:space="preserve">Sources</w:t>
      </w:r>
    </w:p>
    <w:p w:rsidR="00000000" w:rsidDel="00000000" w:rsidP="00000000" w:rsidRDefault="00000000" w:rsidRPr="00000000" w14:paraId="00000047">
      <w:pPr>
        <w:rPr>
          <w:b w:val="1"/>
        </w:rPr>
      </w:pPr>
      <w:r w:rsidDel="00000000" w:rsidR="00000000" w:rsidRPr="00000000">
        <w:rPr>
          <w:b w:val="1"/>
          <w:rtl w:val="0"/>
        </w:rPr>
        <w:t xml:space="preserve">Introduction au sujet :</w:t>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Page wikipédia sur les gènes rapporteurs : </w:t>
      </w:r>
      <w:hyperlink r:id="rId10">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https://en.wikipedia.org/wiki/Reporter_gene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Schéma pour luciférase : </w:t>
      </w:r>
      <w:hyperlink r:id="rId11">
        <w:r w:rsidDel="00000000" w:rsidR="00000000" w:rsidRPr="00000000">
          <w:rPr>
            <w:color w:val="1155cc"/>
            <w:u w:val="single"/>
            <w:rtl w:val="0"/>
          </w:rPr>
          <w:t xml:space="preserve">http://www.cnrs-orleans.fr/~imagerie/images/Image21.jpg</w:t>
        </w:r>
      </w:hyperlink>
      <w:r w:rsidDel="00000000" w:rsidR="00000000" w:rsidRPr="00000000">
        <w:rPr>
          <w:rtl w:val="0"/>
        </w:rPr>
        <w:t xml:space="preserve"> </w:t>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Schéma pour la GFP : </w:t>
      </w:r>
      <w:hyperlink r:id="rId12">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https://en.wikipedia.org/wiki/File:Reporter_gene.png</w:t>
        </w:r>
      </w:hyperlink>
      <w:r w:rsidDel="00000000" w:rsidR="00000000" w:rsidRPr="00000000">
        <w:rPr>
          <w:rtl w:val="0"/>
        </w:rPr>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Schéma pour lacZ : </w:t>
      </w:r>
      <w:hyperlink r:id="rId13">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https://www.google.com/url?sa=i&amp;source=images&amp;cd=&amp;ved=2ahUKEwj794CFxO3kAhUNmxQKHTxrDyQQjRx6BAgBEAQ&amp;url=http%3A%2F%2Fwww.biotech-ecolo.net%2Fgenetic-engineering%2Ftransgenese-expression.html&amp;psig=AOvVaw0mviQJREwM1QtKYp3EtIh6&amp;ust=1569554427187664</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Page wikipédia luciférase : </w:t>
      </w:r>
      <w:hyperlink r:id="rId14">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https://en.wikipedia.org/wiki/Luciferase</w:t>
        </w:r>
      </w:hyperlink>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bookmarkStart w:colFirst="0" w:colLast="0" w:name="_heading=h.gjdgxs" w:id="0"/>
      <w:bookmarkEnd w:id="0"/>
      <w:r w:rsidDel="00000000" w:rsidR="00000000" w:rsidRPr="00000000">
        <w:rPr>
          <w:b w:val="1"/>
          <w:rtl w:val="0"/>
        </w:rPr>
        <w:t xml:space="preserve">Pour aller plus loin :</w:t>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Article traitant de l’intérêt de la GFP  (no</w:t>
      </w:r>
      <w:r w:rsidDel="00000000" w:rsidR="00000000" w:rsidRPr="00000000">
        <w:rPr>
          <w:rtl w:val="0"/>
        </w:rPr>
        <w:t xml:space="preserve">tamment de son utilisation dans le suivi de cellules infectées ou cancéreuses)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15">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http://www.ipubli.inserm.fr/bitstream/handle/10608/1195/1999_1_45.pdf?sequence=3</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Cours traitant de 3 types de marqueurs : les GFP, les luciférases et un autre expliqué p.30-&gt;42 : </w:t>
      </w:r>
      <w:hyperlink r:id="rId16">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https://scinti.edu.umontpellier.fr/files/2013/02/Imagerie-des-genes-rapporteurs_LOZZA.pdf</w:t>
        </w:r>
      </w:hyperlink>
      <w:r w:rsidDel="00000000" w:rsidR="00000000" w:rsidRPr="00000000">
        <w:rPr>
          <w:rtl w:val="0"/>
        </w:rPr>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Avantages et inconvénients de différentes techniques + différentes techniques entrant en jeu dans les transgènes (promoteurs, inhibition d’un signal, …) : </w:t>
      </w:r>
      <w:hyperlink r:id="rId1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http://www.biotech-ecolo.net/genetic-engineering/transgenese-expression.html#lacz</w:t>
        </w:r>
      </w:hyperlink>
      <w:r w:rsidDel="00000000" w:rsidR="00000000" w:rsidRPr="00000000">
        <w:rPr>
          <w:rtl w:val="0"/>
        </w:rPr>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Article d’un exemple d’application des marqueurs GFP : </w:t>
      </w:r>
      <w:hyperlink r:id="rId18">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https://www.pnas.org/content/94/9/4653.short</w:t>
        </w:r>
      </w:hyperlink>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82E8E"/>
    <w:pPr>
      <w:spacing w:after="0" w:line="240" w:lineRule="auto"/>
    </w:pPr>
    <w:rPr>
      <w:rFonts w:eastAsiaTheme="minorEastAsia"/>
      <w:sz w:val="24"/>
      <w:szCs w:val="24"/>
      <w:lang w:eastAsia="fr-FR"/>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F82E8E"/>
    <w:pPr>
      <w:ind w:left="720"/>
      <w:contextualSpacing w:val="1"/>
    </w:pPr>
  </w:style>
  <w:style w:type="table" w:styleId="Grilledutableau">
    <w:name w:val="Table Grid"/>
    <w:basedOn w:val="TableauNormal"/>
    <w:uiPriority w:val="39"/>
    <w:rsid w:val="00F82E8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enhypertexte">
    <w:name w:val="Hyperlink"/>
    <w:basedOn w:val="Policepardfaut"/>
    <w:uiPriority w:val="99"/>
    <w:unhideWhenUsed w:val="1"/>
    <w:rsid w:val="00F82E8E"/>
    <w:rPr>
      <w:color w:val="0000ff"/>
      <w:u w:val="single"/>
    </w:rPr>
  </w:style>
  <w:style w:type="character" w:styleId="Lienhypertextesuivivisit">
    <w:name w:val="FollowedHyperlink"/>
    <w:basedOn w:val="Policepardfaut"/>
    <w:uiPriority w:val="99"/>
    <w:semiHidden w:val="1"/>
    <w:unhideWhenUsed w:val="1"/>
    <w:rsid w:val="00F82E8E"/>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nrs-orleans.fr/~imagerie/images/Image21.jpg" TargetMode="External"/><Relationship Id="rId10" Type="http://schemas.openxmlformats.org/officeDocument/2006/relationships/hyperlink" Target="https://en.wikipedia.org/wiki/Reporter_gene" TargetMode="External"/><Relationship Id="rId13" Type="http://schemas.openxmlformats.org/officeDocument/2006/relationships/hyperlink" Target="https://www.google.com/url?sa=i&amp;source=images&amp;cd=&amp;ved=2ahUKEwj794CFxO3kAhUNmxQKHTxrDyQQjRx6BAgBEAQ&amp;url=http%3A%2F%2Fwww.biotech-ecolo.net%2Fgenetic-engineering%2Ftransgenese-expression.html&amp;psig=AOvVaw0mviQJREwM1QtKYp3EtIh6&amp;ust=1569554427187664" TargetMode="External"/><Relationship Id="rId12" Type="http://schemas.openxmlformats.org/officeDocument/2006/relationships/hyperlink" Target="https://en.wikipedia.org/wiki/File:Reporter_gene.p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www.ipubli.inserm.fr/bitstream/handle/10608/1195/1999_1_45.pdf?sequence=3" TargetMode="External"/><Relationship Id="rId14" Type="http://schemas.openxmlformats.org/officeDocument/2006/relationships/hyperlink" Target="https://en.wikipedia.org/wiki/Luciferase" TargetMode="External"/><Relationship Id="rId17" Type="http://schemas.openxmlformats.org/officeDocument/2006/relationships/hyperlink" Target="http://www.biotech-ecolo.net/genetic-engineering/transgenese-expression.html#lacz" TargetMode="External"/><Relationship Id="rId16" Type="http://schemas.openxmlformats.org/officeDocument/2006/relationships/hyperlink" Target="https://scinti.edu.umontpellier.fr/files/2013/02/Imagerie-des-genes-rapporteurs_LOZZA.pdf"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www.pnas.org/content/94/9/4653.short" TargetMode="External"/><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Fvc5Zc/UBbJmUIRBhqe9Zc8Dzg==">AMUW2mWUXJhV9DzQy1fVcRnSinKPHToVOTwQS0cF31wr6teBlUkGdu2deFqkpAEpdmjFbPkOKJqXlD7aKvQzrQkdATLuk6j5jI4TTEFvqwzK9sC2LHcW5JuHYGk58DNh1d0ZXhnHOjtxmlJ+azz+Q7J+DeR5ZxNzsgsx1WbBzh0iNtRpId9KwF1CwNTLoOMRFOGadf3Kn3lCfR80UMt+FXn/t8Frj8gLjvW6ZT0l6HmH0MhAnRMenqZApJA9ba+d/hIvjQVV0NhhSC4IKdGS/yOcuFouJA7pJ4aUdL181lxPSkRwZAqp7s4/B6yW0JX7Y8ulqRg7W8TDbZD1tsyqjFKjS27ycZD8hMkxUZx51dM8bHQrNKEZTT+CuSK9wG2amqeQJZKHSHE4ZCH5+g4f3M1l16umdRcSo243QVeO2+Awq8E+93BMEGOgKbswvYk/kaYT+OhZz38ZmezbAZRwI61TJQUPGOZiyhuZnhh2OqVlKr5B5HLhmMhzwjdHYirwC4pt78zVIg2H8Z6BpA+ZLqjb8Z01bNVoIGjgop2nMcE1sXQDDCdvr/+24oaXEN/CFs6Y5EL6L3mn3YZDsdKEOAAiq/0tzH0ka9Mpo5t3szXdeHOJGb6fFrbWilvRk1HMJH91Cf5GSxTe7KffTxeZFFIlFCJIb+rnIIq3sQYK6LPxpLyG7MG+ujN8UtE1SNSnhfcmU88d9pb3TwstpQUJ8ojHr2G4hK6TcowEEiGjlDTY6igYaJhaSqkQZ/Y3o14s0qqXQYa6z1RDV5E6HNm9SIo2O5i3r4DEHBFk3wzjsC06ZQ4R5wXLWNhr0ldt0h9mJwWsOJu0VDy8dGWin5guQ1zZZESW8HFxBZiZU1v+ZSPuOU3s8J0labnjA+7T2iNTdG/p+/gD2vHdmJvm1TdDn0lfVL7FMaFzx7Ox8XoF2LozNgH53OV5/AkaZMeam1ZNdSzjsE67GiL52KuGLbGD1ucNgKqXMPHKIGXDZuWbrU+MQQFBLLibqYsxYB3Fav1RrZNngbKiX9YCyUv4NPSYTp9kn22UhwpuvMkF0tAEKh5ZR3PaRP9yNBgbpgyHmVlLUgXrxQZbCJbUAV7ATe6g6p3W/55sVapOLTuyJ3NwAprOvDiDh+0jrqmM9tewMcXYV5J4UZ0a/T5gMMCyrquU+mayq361FYdDSf/XKB++K3ivLKiWmJkdi1289Ys4TmlzSs8iPhBvApDse351wDkBnyNpvpGk8LfoUubvPUygViHkOShDCzwq47mFoWD6MHeWEaB8UvUP8qL5u36KkY67i3t3pKFTxOks59Um13UW73WKWecLa1pI3IZJl0GjzQ79fIJNvbrhKRMXqYgfLwKOEX+5Y0fZhpahGCHuoodI1r+pVpfY8LKd8g11d08io1Bsow9mrvmEhS7kEpdnLM3cXAYGUN6Eihn2HRrhemAHrQPfoFeHE/CtX7mFCmotR3euC5tNptg4n9TCf7WS2WRjTbqe842C02XnZjJFVqg8UQ76PrckuJ7aXwfUbjrwD13tFQ3k5oL2RVR2UuNc1cfzVKhMVgelCyV/WihKbhnsLwslWBjDNVF4TtNI5NVyZaKoxu6DSSdsPuYBqmxPKoMfR4OdRnPczBu+VLPc6dbzO4fdelM6HULaf1iTlOYyfiMeDLqzZb8n5zz871du0WaUP1lJxh8ezpyPLsntnWkCDxW6928TxAtwOW9HgKbrWdZRuMrtboQEUaemtxLCQEuz2XRG+Ix1P9QRLnpbDyqpsRybfXap8vMB4pk9AgmSDadYRq2O4BJleMBmcUShcljZYwUzNsLGUHWvbNBEyF1++MUVGU/iDLpAHQMeA4aoFk+bA/G68KPwgu7LtqbSWIKtNKzyxKB4cDN09cI6GxKJIuKmsiACFIRV3LH5bgjtf9zsC0UhvG0qeHJ3ImgujS2hCHMd1rUFuLazMnv/W5KhHQYeNc1Qvinn6el9uc2Xci+7YulTA+rrxesKGtr3YvEWm3XaOwGMrFMjuHKu248pkkdg88Q9mJK2np/MyEWivQvOXRe1lE179XHFs6ZZa7JswDVG4bUTsQsHu7HcFxJ1WOl+kyVJKI5kYGZMp6hq8T+XcKYXXfEk1HlXJ9RsUaspEDKPkaZOpxoNpkZUMs12D2zwzx//I/VvqfVhKwElyJEnm/tJXp0YgRR6VupGo43geSV2sgx7WjoiaV6UsD5LrHQO/7It0753ZIDke4bpccoBWbShIiDuJcVxMUjjfK+IJMxSK6ykt2iaPb13qAznaO60CIoAh3EEWBCtVcy9NabOkNlmL+S+3ieO35cLMwMV9tVAP6QN8d9KTsZ8LUi0/p6N7aRLqXpGmCyXaszi4YX5zQf5NJOODkP0vw2l5jddiphEfH5T0P9DLMLv/EtZoFwQvUEZR9ckQBWNrShOziVtwhkPnfK+2tYDl+ze91V4ybtt15XUUf0eAmEFahx9+1ePC0SYJNhG3pCzSL5Ne7+i6sgiLhb6m/DjZCinjrpCx5awo7czyMLXjPi3fnsHBJ3UT2pjolDp/5m+g2vtodCWIO/tyYxFuIaTIf7Af02Qjr8hQ1TjOtVzktVllXLuTUDBrf+25U6z1gg10M0jFILb6kaE1UVaHADgbJ5MOhga02heTe0Pm6VrzueKbOrq7Da781r7Ch8IslvXD9YSVi+cE+zNV7XEjznIqbnL8/wNn9YIQ7+F5Vqs2Q80XnvikqiaCnzH78DineKdlDPY0vHHOxX5+bigrHLJPFDensliCTnJ22XcpxS6GAxGwslPyFtJOE/gf7SSagMD0EiD8Gr2ffHoGdlhysmaAkVeYfBpADem1k7KHUFFkeoq7uaa9ztRDuc2pH2vtIXVcxRGOi/ggmRNnCoClmccyrCjyqWNM0zQXWQ9cfwyKslrivEJld908VW/+nUezOaSDrmBXjo0hxdHdjO8YtcLjQmTy2TvyHwH1DXdJg1wk4Lgs8Fi5x/kP9PwxmYbRwGyh2uqgnAzFjnl0KMXFVJXhX6BugHbNvDaMyJn5ElzI6aNhhrwZlScF2P7NROBlELT8PP5JNMp9zvajcXoXkhQKzvIErVAlPDZ55zHEqtmhwYNpe8mVQ/1duwsoM9XoEnRBN6XtIeSqI+ljKuTwWXrOxOPYk/b9BNzWtJGDOhQaHIgMHcvFD8TeOxGUr/Sn9/HOsYePEefz1/H1tvOoulDx4HkxuMnFPl+CrzPNN/0X4n95hTKP+6kEn9jK3/vZmtytLooms2Ugh9CYSblq9lXgQDZ0kPTrEp1OmVlRnwEoI/Ryl8GAjN3kqXl5YnFOTO+SV00ugT8EAPLzfBU45/4TtJVpG9Gzta+qEvMidK0yLUAKD0vojeZSj0/8hdk+3i1CvSPf2CBAF+QB0VZoTkb3j/svRuylCDdWMa4cFUmZ7j2yO+NedTKKUi1zsZe55BMGQI0Qm3CkaKk+0IYkZknWcxsaY6zcUMbYXWEaYvbmRq2B1WKHTWN2/ZTNof5zOK6hm9qUhC+XpelN+uzbAxQ9Qum17sjInRh4hEekYP7hF7mfcyJo5OHlZDO+JgXWfClhPII7i79kLmcm8yr0XOhR0PCfc1Am7B2hDiCiL7cYUmdnuqciPsnZU21lZxsw6VSQTeZNO5z1NgDsEyq5XXVCbuorVFDIVV1aIyc/xHWpTsec+U2Qivzwlb7/ABm3pyerrcCvBpDH3d/dmiPHXo+pfwcOLaB48dafhKkHZXc4lyzZN0d3tuoKyx1RLTyygYABIpqYDRpT/dy6YrfDYQYEDR/fYdMhw5RbTOAEOvOJgdy/XS1TfQTlhX3vYf0k8CBX+Xru8MOU1P4Q2ND7HbPqhbl7UsbVuMud9gb0mvUZvGnz3h+ddoI48DfS/EDXMmEaReBe1hrv1MOUnZ+3+YAZdsAqpZX3l9aS9yTl6ir3Q2yET4yEmoiYkzXFcnfqoBAUW9by3DKsZbe48mGaeeewkL7t/q6b8lfgBofyWUKNYxbCI1wMSc6QwtlFLLJq0W4ed+S4laLq2Hzev2iaRat5CvFSslXJ633R8dEO+o5mMqxFtOk7Nqmm/cnYf6oCtESpd5BOXlHxIwUkmi9FIx4LSbhR1rLqksKgbBU54f9WGdflHP+JuEgIUktMLzqgKlHimmT84JihyY3mea0ZwzjPIA0z1h3N9ndWcCec9wNlg9KHAPUrdnvGuBe59yNF45vGtQnVqMslRbkBeSyBawUPNhTfpL+2Jx0mmCJ4fc0GR5IGITN9rHQeZTtCRZ+HoZe4fnDGtT8RKC5rpd6QTZ7UCj2krruBoKDzedxGJzP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2019-09-26T05:29:00Z</dcterms:created>
  <dc:creator>victoire vion</dc:creator>
</cp:coreProperties>
</file>