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Test Elisa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Le test Elisa (“Enzyme Linked ImmunoSorbent Assay”) est une technique immuno-enzymatique permettant de détecter une réaction anticorps-antigène, grâce à une coloration produite par une enzyme (couplée à l’anticorps secondaire) en lui fournissant son substrat. Ce test est utilisé en immunologie afin de détecter la présence d’un anticorps ou d’un antigène dans un échantillon.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Il existe trois différentes méthodes pour le test Elisa :</w:t>
      </w:r>
    </w:p>
    <w:p w:rsidR="00000000" w:rsidDel="00000000" w:rsidP="00000000" w:rsidRDefault="00000000" w:rsidRPr="00000000" w14:paraId="00000005">
      <w:pPr>
        <w:pStyle w:val="Subtitle"/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Méthode indirecte :</w:t>
      </w:r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Coating :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 Fixation électrostatique d’une solution d’antigène sur le fond de puits.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Fixation :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 Des anticorps de dosage sont ensuite incorporés dans la solution, afin de se lier aux antigènes de manière spécifique. Le lavage qui suit permet d’éliminer les anticorps non liés.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Des anticorps de détection (anticorps secondaires) sont ensuite ajoutés. Liés à une enzyme (peroxydase), ils vont se lier spécifiquement aux anticorps de dosage (anticorps primaires).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Révélation :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 Une solution contenant le substrat est ajoutée, se liant à l’enzyme pour créer une coloration bleue. Selon l’intensité de cette dernière, il est possible de connaître la quantité d’enzyme dans la solution, et donc des anticorps.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/>
        <w:drawing>
          <wp:inline distB="0" distT="0" distL="0" distR="0">
            <wp:extent cx="5760720" cy="1201522"/>
            <wp:effectExtent b="0" l="0" r="0" t="0"/>
            <wp:docPr descr="content_elisa.jpg (700Ã146)" id="5" name="image1.jpg"/>
            <a:graphic>
              <a:graphicData uri="http://schemas.openxmlformats.org/drawingml/2006/picture">
                <pic:pic>
                  <pic:nvPicPr>
                    <pic:cNvPr descr="content_elisa.jpg (700Ã146)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15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Fig 1. Schéma du test Elisa indirect (bioutils).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Méthode du sandwich 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Permet le dosage d’antigène.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Fixation : 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Un anticorps de capture est fixé au fond du puits.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Ajout d’antigène : 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l’échantillon contenant les antigènes à analyser est incorporé à la solution d’anticorps.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Ajout d’anticorps de détection : 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Des anticorps liés à une enzyme sont ajoutés à la solution, permettant la mesure quantitative des anticorps grâce au substrat ajouté (création d’une coloration bleue).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Méthode de compétition 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Permet le dosage d’antigène.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Cette technique se base sur l’utilisation de deux solutions d’antigènes différents : l’une avec une concentration connue (qui sont marqués) et l’autre à déterminer.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Si le signal coloré est fort, cela sous-entend que l’antigène inconnu est en faible concentration.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/>
        <w:drawing>
          <wp:inline distB="0" distT="0" distL="0" distR="0">
            <wp:extent cx="5760720" cy="3150235"/>
            <wp:effectExtent b="0" l="0" r="0" t="0"/>
            <wp:docPr descr="varelis.jpg (640Ã350)" id="6" name="image2.jpg"/>
            <a:graphic>
              <a:graphicData uri="http://schemas.openxmlformats.org/drawingml/2006/picture">
                <pic:pic>
                  <pic:nvPicPr>
                    <pic:cNvPr descr="varelis.jpg (640Ã350)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0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Avantages et inconvénients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Avantages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Inconvénients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highlight w:val="white"/>
                <w:rtl w:val="0"/>
              </w:rPr>
              <w:t xml:space="preserve">Accessible à tous les biologiste, simple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Limité par la disponibilité des anticorps spécifiques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Plus de précision avec les anticorps secondaires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Réaction dépendante au milieu (température, Ph…)</w:t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highlight w:val="white"/>
                <w:rtl w:val="0"/>
              </w:rPr>
              <w:t xml:space="preserve">Quantitatif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La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détection nécessite peu d’appareil spécialisé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 (lecteur de plaques de microtitration)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Peu coûteux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Utilisations 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Utilisée pour dépister le HIV ou le virus du Nil.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Industrie alimentaire : allergènes (lait, noix…)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Sources :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23232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2323"/>
          <w:sz w:val="20"/>
          <w:szCs w:val="20"/>
          <w:rtl w:val="0"/>
        </w:rPr>
        <w:t xml:space="preserve">INRP, Biogeo, </w:t>
      </w:r>
      <w:r w:rsidDel="00000000" w:rsidR="00000000" w:rsidRPr="00000000">
        <w:rPr>
          <w:rFonts w:ascii="Arial" w:cs="Arial" w:eastAsia="Arial" w:hAnsi="Arial"/>
          <w:i w:val="1"/>
          <w:color w:val="232323"/>
          <w:sz w:val="20"/>
          <w:szCs w:val="20"/>
          <w:rtl w:val="0"/>
        </w:rPr>
        <w:t xml:space="preserve">Immunologie Sida</w:t>
      </w:r>
      <w:r w:rsidDel="00000000" w:rsidR="00000000" w:rsidRPr="00000000">
        <w:rPr>
          <w:rFonts w:ascii="Arial" w:cs="Arial" w:eastAsia="Arial" w:hAnsi="Arial"/>
          <w:color w:val="232323"/>
          <w:sz w:val="20"/>
          <w:szCs w:val="20"/>
          <w:rtl w:val="0"/>
        </w:rPr>
        <w:t xml:space="preserve"> (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http://acces.ens-lyon.fr/biotic/immuno/html/elisavar.htm</w:t>
        </w:r>
      </w:hyperlink>
      <w:r w:rsidDel="00000000" w:rsidR="00000000" w:rsidRPr="00000000">
        <w:rPr>
          <w:rFonts w:ascii="Arial" w:cs="Arial" w:eastAsia="Arial" w:hAnsi="Arial"/>
          <w:color w:val="232323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23232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2323"/>
          <w:sz w:val="20"/>
          <w:szCs w:val="20"/>
          <w:rtl w:val="0"/>
        </w:rPr>
        <w:t xml:space="preserve">Medecine et Maladie 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http://futuremedecin.blogspot.com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23232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2323"/>
          <w:sz w:val="20"/>
          <w:szCs w:val="20"/>
          <w:rtl w:val="0"/>
        </w:rPr>
        <w:t xml:space="preserve">Magniez Frédérick, Technobio (2008) (http://www.technobio.fr/article-18589062.html)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23232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Pour aller plus loin :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color w:val="0000ff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Ozyme :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1"/>
            <w:szCs w:val="21"/>
            <w:highlight w:val="white"/>
            <w:u w:val="single"/>
            <w:rtl w:val="0"/>
          </w:rPr>
          <w:t xml:space="preserve">https://www.ozyme.fr/#item-3</w:t>
        </w:r>
      </w:hyperlink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 (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1"/>
            <w:szCs w:val="21"/>
            <w:highlight w:val="white"/>
            <w:u w:val="single"/>
            <w:rtl w:val="0"/>
          </w:rPr>
          <w:t xml:space="preserve">https://www.ozyme.fr/ressources/cyberlettres/techozyme/techozyme42-dosage-analyte-elisa.asp</w:t>
        </w:r>
      </w:hyperlink>
      <w:r w:rsidDel="00000000" w:rsidR="00000000" w:rsidRPr="00000000">
        <w:rPr>
          <w:rFonts w:ascii="Arial" w:cs="Arial" w:eastAsia="Arial" w:hAnsi="Arial"/>
          <w:color w:val="0000ff"/>
          <w:sz w:val="21"/>
          <w:szCs w:val="21"/>
          <w:highlight w:val="white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0000ff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u w:val="none"/>
          <w:rtl w:val="0"/>
        </w:rPr>
        <w:t xml:space="preserve">Bioutils :</w:t>
      </w:r>
      <w:r w:rsidDel="00000000" w:rsidR="00000000" w:rsidRPr="00000000">
        <w:rPr>
          <w:rFonts w:ascii="Arial" w:cs="Arial" w:eastAsia="Arial" w:hAnsi="Arial"/>
          <w:color w:val="0000ff"/>
          <w:sz w:val="21"/>
          <w:szCs w:val="21"/>
          <w:highlight w:val="white"/>
          <w:u w:val="single"/>
          <w:rtl w:val="0"/>
        </w:rPr>
        <w:t xml:space="preserve"> https://www.bioutils.ch/protocoles/14-le-test-elisa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E178B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E178B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 w:val="1"/>
    <w:qFormat w:val="1"/>
    <w:rsid w:val="00E178B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443AA0"/>
    <w:rPr>
      <w:color w:val="0000ff"/>
      <w:u w:val="single"/>
    </w:rPr>
  </w:style>
  <w:style w:type="character" w:styleId="lev">
    <w:name w:val="Strong"/>
    <w:basedOn w:val="Policepardfaut"/>
    <w:uiPriority w:val="22"/>
    <w:qFormat w:val="1"/>
    <w:rsid w:val="00443AA0"/>
    <w:rPr>
      <w:b w:val="1"/>
      <w:bCs w:val="1"/>
    </w:rPr>
  </w:style>
  <w:style w:type="paragraph" w:styleId="Paragraphedeliste">
    <w:name w:val="List Paragraph"/>
    <w:basedOn w:val="Normal"/>
    <w:uiPriority w:val="34"/>
    <w:qFormat w:val="1"/>
    <w:rsid w:val="00443AA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43A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E06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ausimple1">
    <w:name w:val="Plain Table 1"/>
    <w:basedOn w:val="TableauNormal"/>
    <w:uiPriority w:val="41"/>
    <w:rsid w:val="00CE0638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eausimple3">
    <w:name w:val="Plain Table 3"/>
    <w:basedOn w:val="TableauNormal"/>
    <w:uiPriority w:val="43"/>
    <w:rsid w:val="00CE0638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CE0638"/>
    <w:pPr>
      <w:spacing w:after="0" w:line="240" w:lineRule="auto"/>
    </w:pPr>
    <w:rPr>
      <w:color w:val="2f5496" w:themeColor="accent5" w:themeShade="0000BF"/>
    </w:r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leauGrille1Clair">
    <w:name w:val="Grid Table 1 Light"/>
    <w:basedOn w:val="TableauNormal"/>
    <w:uiPriority w:val="46"/>
    <w:rsid w:val="00FE6B0D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Titre1Car" w:customStyle="1">
    <w:name w:val="Titre 1 Car"/>
    <w:basedOn w:val="Policepardfaut"/>
    <w:link w:val="Titre1"/>
    <w:uiPriority w:val="9"/>
    <w:rsid w:val="00E178B4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E178B4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E178B4"/>
    <w:rPr>
      <w:rFonts w:eastAsiaTheme="minorEastAsia"/>
      <w:color w:val="5a5a5a" w:themeColor="text1" w:themeTint="0000A5"/>
      <w:spacing w:val="15"/>
    </w:rPr>
  </w:style>
  <w:style w:type="table" w:styleId="TableauGrille2-Accentuation5">
    <w:name w:val="Grid Table 2 Accent 5"/>
    <w:basedOn w:val="TableauNormal"/>
    <w:uiPriority w:val="47"/>
    <w:rsid w:val="00E178B4"/>
    <w:pPr>
      <w:spacing w:after="0" w:line="240" w:lineRule="auto"/>
    </w:pPr>
    <w:tblPr>
      <w:tblStyleRowBandSize w:val="1"/>
      <w:tblStyleColBandSize w:val="1"/>
      <w:tblBorders>
        <w:top w:color="8eaadb" w:space="0" w:sz="2" w:themeColor="accent5" w:themeTint="000099" w:val="single"/>
        <w:bottom w:color="8eaadb" w:space="0" w:sz="2" w:themeColor="accent5" w:themeTint="000099" w:val="single"/>
        <w:insideH w:color="8eaadb" w:space="0" w:sz="2" w:themeColor="accent5" w:themeTint="000099" w:val="single"/>
        <w:insideV w:color="8eaadb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eaadb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leauGrille2-Accentuation3">
    <w:name w:val="Grid Table 2 Accent 3"/>
    <w:basedOn w:val="TableauNormal"/>
    <w:uiPriority w:val="47"/>
    <w:rsid w:val="00E178B4"/>
    <w:pPr>
      <w:spacing w:after="0" w:line="240" w:lineRule="auto"/>
    </w:pPr>
    <w:tblPr>
      <w:tblStyleRowBandSize w:val="1"/>
      <w:tblStyleColBandSize w:val="1"/>
      <w:tblBorders>
        <w:top w:color="c9c9c9" w:space="0" w:sz="2" w:themeColor="accent3" w:themeTint="000099" w:val="single"/>
        <w:bottom w:color="c9c9c9" w:space="0" w:sz="2" w:themeColor="accent3" w:themeTint="000099" w:val="single"/>
        <w:insideH w:color="c9c9c9" w:space="0" w:sz="2" w:themeColor="accent3" w:themeTint="000099" w:val="single"/>
        <w:insideV w:color="c9c9c9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9c9c9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Grilledetableauclaire">
    <w:name w:val="Grid Table Light"/>
    <w:basedOn w:val="TableauNormal"/>
    <w:uiPriority w:val="40"/>
    <w:rsid w:val="00E178B4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Titre2Car" w:customStyle="1">
    <w:name w:val="Titre 2 Car"/>
    <w:basedOn w:val="Policepardfaut"/>
    <w:link w:val="Titre2"/>
    <w:uiPriority w:val="9"/>
    <w:rsid w:val="00E178B4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Titre3Car" w:customStyle="1">
    <w:name w:val="Titre 3 Car"/>
    <w:basedOn w:val="Policepardfaut"/>
    <w:link w:val="Titre3"/>
    <w:uiPriority w:val="9"/>
    <w:rsid w:val="00E178B4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ozyme.fr/#item-3" TargetMode="External"/><Relationship Id="rId10" Type="http://schemas.openxmlformats.org/officeDocument/2006/relationships/hyperlink" Target="http://futuremedecin.blogspot.com" TargetMode="External"/><Relationship Id="rId12" Type="http://schemas.openxmlformats.org/officeDocument/2006/relationships/hyperlink" Target="https://www.ozyme.fr/ressources/cyberlettres/techozyme/techozyme42-dosage-analyte-elisa.asp" TargetMode="External"/><Relationship Id="rId9" Type="http://schemas.openxmlformats.org/officeDocument/2006/relationships/hyperlink" Target="http://acces.ens-lyon.fr/biotic/immuno/html/elisavar.ht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5MMtQZwBMeBsEQXZu2bhBIa2qQ==">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2019-09-19T07:56:00Z</dcterms:created>
  <dc:creator>Romane Pellerin</dc:creator>
</cp:coreProperties>
</file>