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3540" w:firstLine="708.0000000000001"/>
        <w:rPr>
          <w:rFonts w:ascii="Times New Roman" w:cs="Times New Roman" w:eastAsia="Times New Roman" w:hAnsi="Times New Roman"/>
          <w:color w:val="ff0000"/>
          <w:sz w:val="40"/>
          <w:szCs w:val="40"/>
        </w:rPr>
      </w:pPr>
      <w:r w:rsidDel="00000000" w:rsidR="00000000" w:rsidRPr="00000000">
        <w:rPr>
          <w:rFonts w:ascii="Times New Roman" w:cs="Times New Roman" w:eastAsia="Times New Roman" w:hAnsi="Times New Roman"/>
          <w:color w:val="ff0000"/>
          <w:sz w:val="40"/>
          <w:szCs w:val="40"/>
          <w:rtl w:val="0"/>
        </w:rPr>
        <w:t xml:space="preserve">RAPD</w:t>
      </w:r>
    </w:p>
    <w:p w:rsidR="00000000" w:rsidDel="00000000" w:rsidP="00000000" w:rsidRDefault="00000000" w:rsidRPr="00000000" w14:paraId="00000002">
      <w:pPr>
        <w:jc w:val="center"/>
        <w:rPr>
          <w:rFonts w:ascii="Times New Roman" w:cs="Times New Roman" w:eastAsia="Times New Roman" w:hAnsi="Times New Roman"/>
          <w:color w:val="ff0000"/>
          <w:sz w:val="40"/>
          <w:szCs w:val="40"/>
        </w:rPr>
      </w:pPr>
      <w:r w:rsidDel="00000000" w:rsidR="00000000" w:rsidRPr="00000000">
        <w:rPr>
          <w:rFonts w:ascii="Times New Roman" w:cs="Times New Roman" w:eastAsia="Times New Roman" w:hAnsi="Times New Roman"/>
          <w:color w:val="ff0000"/>
          <w:sz w:val="40"/>
          <w:szCs w:val="40"/>
          <w:rtl w:val="0"/>
        </w:rPr>
        <w:t xml:space="preserve">(« Random Amplification of Polymorphic DNA »)</w:t>
      </w:r>
    </w:p>
    <w:p w:rsidR="00000000" w:rsidDel="00000000" w:rsidP="00000000" w:rsidRDefault="00000000" w:rsidRPr="00000000" w14:paraId="00000003">
      <w:pPr>
        <w:jc w:val="cente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Technique d’analyse de l’ADN utilisée en biologie moléculaire</w:t>
      </w:r>
      <w:r w:rsidDel="00000000" w:rsidR="00000000" w:rsidRPr="00000000">
        <w:rPr>
          <w:rFonts w:ascii="Times New Roman" w:cs="Times New Roman" w:eastAsia="Times New Roman" w:hAnsi="Times New Roman"/>
          <w:color w:val="000000"/>
        </w:rPr>
        <w:drawing>
          <wp:inline distB="0" distT="0" distL="0" distR="0">
            <wp:extent cx="3135787" cy="277730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5787" cy="277730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ff0000"/>
          <w:sz w:val="36"/>
          <w:szCs w:val="36"/>
          <w:u w:val="single"/>
        </w:rPr>
      </w:pPr>
      <w:r w:rsidDel="00000000" w:rsidR="00000000" w:rsidRPr="00000000">
        <w:rPr>
          <w:rFonts w:ascii="Times New Roman" w:cs="Times New Roman" w:eastAsia="Times New Roman" w:hAnsi="Times New Roman"/>
          <w:color w:val="ff0000"/>
          <w:sz w:val="36"/>
          <w:szCs w:val="36"/>
          <w:u w:val="single"/>
          <w:rtl w:val="0"/>
        </w:rPr>
        <w:t xml:space="preserve">Description :</w:t>
      </w:r>
    </w:p>
    <w:p w:rsidR="00000000" w:rsidDel="00000000" w:rsidP="00000000" w:rsidRDefault="00000000" w:rsidRPr="00000000" w14:paraId="0000000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Réaction de PCR dans laquelle les segments d’ADN amplifiés ne sont pas choisis par l’expérimentateur (« amplification au hasard »)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L’expérimentateur crée plusieurs amorces courtes d</w:t>
      </w:r>
      <w:r w:rsidDel="00000000" w:rsidR="00000000" w:rsidRPr="00000000">
        <w:rPr>
          <w:rFonts w:ascii="Times New Roman" w:cs="Times New Roman" w:eastAsia="Times New Roman" w:hAnsi="Times New Roman"/>
          <w:sz w:val="24"/>
          <w:szCs w:val="24"/>
          <w:rtl w:val="0"/>
        </w:rPr>
        <w:t xml:space="preserve">ont 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séquence est définie arbitrairement (entre 8 et 12 nucléotides)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procède ensuite à une amplification par PCR d’ADN génomique avec les amorces crées précédemment.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Il n’y aura amplification que si les 2 amorces s’hybrident de part et d’autre d’un segment d’ADN d’une taille compatible avec l’amplification.</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Puis une analyse par électrophorèse des fragments amplifiés donnera un profil particulier, caractéristique de l’ADN de départ.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sz w:val="28"/>
          <w:szCs w:val="28"/>
          <w:u w:val="single"/>
        </w:rPr>
      </w:pPr>
      <w:r w:rsidDel="00000000" w:rsidR="00000000" w:rsidRPr="00000000">
        <w:rPr>
          <w:rtl w:val="0"/>
        </w:rPr>
      </w:r>
    </w:p>
    <w:tbl>
      <w:tblPr>
        <w:tblStyle w:val="Table1"/>
        <w:tblW w:w="961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806"/>
        <w:gridCol w:w="4806"/>
        <w:tblGridChange w:id="0">
          <w:tblGrid>
            <w:gridCol w:w="4806"/>
            <w:gridCol w:w="4806"/>
          </w:tblGrid>
        </w:tblGridChange>
      </w:tblGrid>
      <w:tr>
        <w:trPr>
          <w:trHeight w:val="360" w:hRule="atLeast"/>
        </w:trPr>
        <w:tc>
          <w:tcPr>
            <w:shd w:fill="c5e0b3" w:val="clear"/>
          </w:tcPr>
          <w:p w:rsidR="00000000" w:rsidDel="00000000" w:rsidP="00000000" w:rsidRDefault="00000000" w:rsidRPr="00000000" w14:paraId="00000013">
            <w:pPr>
              <w:rPr>
                <w:rFonts w:ascii="Times New Roman" w:cs="Times New Roman" w:eastAsia="Times New Roman" w:hAnsi="Times New Roman"/>
                <w:color w:val="000000"/>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u w:val="single"/>
                <w:rtl w:val="0"/>
              </w:rPr>
              <w:t xml:space="preserve">Avantages</w:t>
            </w:r>
          </w:p>
        </w:tc>
        <w:tc>
          <w:tcPr>
            <w:shd w:fill="f7cbac" w:val="clear"/>
          </w:tcPr>
          <w:p w:rsidR="00000000" w:rsidDel="00000000" w:rsidP="00000000" w:rsidRDefault="00000000" w:rsidRPr="00000000" w14:paraId="00000014">
            <w:pP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Inconvénient</w:t>
            </w:r>
          </w:p>
        </w:tc>
      </w:tr>
      <w:tr>
        <w:trPr>
          <w:trHeight w:val="960" w:hRule="atLeast"/>
        </w:trPr>
        <w:tc>
          <w:tcPr/>
          <w:p w:rsidR="00000000" w:rsidDel="00000000" w:rsidP="00000000" w:rsidRDefault="00000000" w:rsidRPr="00000000" w14:paraId="0000001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 nécessite pas de connaissance préalable de l’ADN cible.</w:t>
            </w:r>
          </w:p>
          <w:p w:rsidR="00000000" w:rsidDel="00000000" w:rsidP="00000000" w:rsidRDefault="00000000" w:rsidRPr="00000000" w14:paraId="00000016">
            <w:pPr>
              <w:rPr>
                <w:rFonts w:ascii="Times New Roman" w:cs="Times New Roman" w:eastAsia="Times New Roman" w:hAnsi="Times New Roman"/>
                <w:color w:val="000000"/>
                <w:sz w:val="24"/>
                <w:szCs w:val="24"/>
                <w:u w:val="single"/>
              </w:rPr>
            </w:pP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Doit être utilisée sur des fragments d’ADN génomique « intacts ».</w:t>
            </w:r>
            <w:r w:rsidDel="00000000" w:rsidR="00000000" w:rsidRPr="00000000">
              <w:rPr>
                <w:rtl w:val="0"/>
              </w:rPr>
            </w:r>
          </w:p>
        </w:tc>
      </w:tr>
      <w:tr>
        <w:trPr>
          <w:trHeight w:val="1540" w:hRule="atLeast"/>
        </w:trPr>
        <w:tc>
          <w:tcPr/>
          <w:p w:rsidR="00000000" w:rsidDel="00000000" w:rsidP="00000000" w:rsidRDefault="00000000" w:rsidRPr="00000000" w14:paraId="0000001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Permet de comparer les ADN d’espèces pour lesquelles il y a peu d’information (espèce peu étudi</w:t>
            </w:r>
            <w:r w:rsidDel="00000000" w:rsidR="00000000" w:rsidRPr="00000000">
              <w:rPr>
                <w:rFonts w:ascii="Times New Roman" w:cs="Times New Roman" w:eastAsia="Times New Roman" w:hAnsi="Times New Roman"/>
                <w:sz w:val="24"/>
                <w:szCs w:val="24"/>
                <w:rtl w:val="0"/>
              </w:rPr>
              <w:t xml:space="preserve">ée</w:t>
            </w:r>
            <w:r w:rsidDel="00000000" w:rsidR="00000000" w:rsidRPr="00000000">
              <w:rPr>
                <w:rFonts w:ascii="Times New Roman" w:cs="Times New Roman" w:eastAsia="Times New Roman" w:hAnsi="Times New Roman"/>
                <w:color w:val="000000"/>
                <w:sz w:val="24"/>
                <w:szCs w:val="24"/>
                <w:rtl w:val="0"/>
              </w:rPr>
              <w:t xml:space="preserve"> ou pour lesquelles nous disposons de peu de séquences connues)</w:t>
            </w:r>
          </w:p>
          <w:p w:rsidR="00000000" w:rsidDel="00000000" w:rsidP="00000000" w:rsidRDefault="00000000" w:rsidRPr="00000000" w14:paraId="00000019">
            <w:pPr>
              <w:rPr>
                <w:rFonts w:ascii="Times New Roman" w:cs="Times New Roman" w:eastAsia="Times New Roman" w:hAnsi="Times New Roman"/>
                <w:color w:val="000000"/>
                <w:sz w:val="24"/>
                <w:szCs w:val="24"/>
                <w:u w:val="single"/>
              </w:rPr>
            </w:pPr>
            <w:r w:rsidDel="00000000" w:rsidR="00000000" w:rsidRPr="00000000">
              <w:rPr>
                <w:rtl w:val="0"/>
              </w:rPr>
            </w:r>
          </w:p>
        </w:tc>
        <w:tc>
          <w:tcPr/>
          <w:p w:rsidR="00000000" w:rsidDel="00000000" w:rsidP="00000000" w:rsidRDefault="00000000" w:rsidRPr="00000000" w14:paraId="0000001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 permet pas d’obtenir une banque d’ADN d’un organisme.</w:t>
            </w:r>
          </w:p>
          <w:p w:rsidR="00000000" w:rsidDel="00000000" w:rsidP="00000000" w:rsidRDefault="00000000" w:rsidRPr="00000000" w14:paraId="0000001B">
            <w:pPr>
              <w:rPr>
                <w:rFonts w:ascii="Times New Roman" w:cs="Times New Roman" w:eastAsia="Times New Roman" w:hAnsi="Times New Roman"/>
                <w:color w:val="000000"/>
                <w:sz w:val="24"/>
                <w:szCs w:val="24"/>
                <w:u w:val="single"/>
              </w:rPr>
            </w:pPr>
            <w:r w:rsidDel="00000000" w:rsidR="00000000" w:rsidRPr="00000000">
              <w:rPr>
                <w:rtl w:val="0"/>
              </w:rPr>
            </w:r>
          </w:p>
        </w:tc>
      </w:tr>
      <w:tr>
        <w:trPr>
          <w:trHeight w:val="1260" w:hRule="atLeast"/>
        </w:trPr>
        <w:tc>
          <w:tcPr/>
          <w:p w:rsidR="00000000" w:rsidDel="00000000" w:rsidP="00000000" w:rsidRDefault="00000000" w:rsidRPr="00000000" w14:paraId="0000001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Peut mettre en évidence des dégradations de l’ADN (ex : après exposition à un agent mutagène ou génotoxique)</w:t>
            </w:r>
          </w:p>
          <w:p w:rsidR="00000000" w:rsidDel="00000000" w:rsidP="00000000" w:rsidRDefault="00000000" w:rsidRPr="00000000" w14:paraId="0000001D">
            <w:pPr>
              <w:rPr>
                <w:rFonts w:ascii="Times New Roman" w:cs="Times New Roman" w:eastAsia="Times New Roman" w:hAnsi="Times New Roman"/>
                <w:color w:val="000000"/>
                <w:sz w:val="24"/>
                <w:szCs w:val="24"/>
                <w:u w:val="single"/>
              </w:rPr>
            </w:pPr>
            <w:r w:rsidDel="00000000" w:rsidR="00000000" w:rsidRPr="00000000">
              <w:rPr>
                <w:rtl w:val="0"/>
              </w:rPr>
            </w:r>
          </w:p>
        </w:tc>
        <w:tc>
          <w:tcPr/>
          <w:p w:rsidR="00000000" w:rsidDel="00000000" w:rsidP="00000000" w:rsidRDefault="00000000" w:rsidRPr="00000000" w14:paraId="0000001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Moins efficace que méthode de comparaisons ciblées sur ADN spécifique d’espèce comme les </w:t>
            </w:r>
            <w:r w:rsidDel="00000000" w:rsidR="00000000" w:rsidRPr="00000000">
              <w:rPr>
                <w:rFonts w:ascii="Times New Roman" w:cs="Times New Roman" w:eastAsia="Times New Roman" w:hAnsi="Times New Roman"/>
                <w:color w:val="000000"/>
                <w:sz w:val="24"/>
                <w:szCs w:val="24"/>
                <w:rtl w:val="0"/>
              </w:rPr>
              <w:t xml:space="preserve">STR ou VTR (Short Tandem Repeat)</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00000"/>
                <w:sz w:val="24"/>
                <w:szCs w:val="24"/>
                <w:u w:val="single"/>
              </w:rPr>
            </w:pPr>
            <w:r w:rsidDel="00000000" w:rsidR="00000000" w:rsidRPr="00000000">
              <w:rPr>
                <w:rtl w:val="0"/>
              </w:rPr>
            </w:r>
          </w:p>
        </w:tc>
      </w:tr>
      <w:tr>
        <w:trPr>
          <w:trHeight w:val="360" w:hRule="atLeast"/>
        </w:trPr>
        <w:tc>
          <w:tcPr/>
          <w:p w:rsidR="00000000" w:rsidDel="00000000" w:rsidP="00000000" w:rsidRDefault="00000000" w:rsidRPr="00000000" w14:paraId="00000020">
            <w:pP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Ne nécessite pa</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une grande technicité (seulement extraction d</w:t>
            </w:r>
            <w:r w:rsidDel="00000000" w:rsidR="00000000" w:rsidRPr="00000000">
              <w:rPr>
                <w:rFonts w:ascii="Times New Roman" w:cs="Times New Roman" w:eastAsia="Times New Roman" w:hAnsi="Times New Roman"/>
                <w:sz w:val="24"/>
                <w:szCs w:val="24"/>
                <w:rtl w:val="0"/>
              </w:rPr>
              <w:t xml:space="preserve">’ADN, PCR et électrophorèse)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21">
            <w:pPr>
              <w:rPr>
                <w:rFonts w:ascii="Times New Roman" w:cs="Times New Roman" w:eastAsia="Times New Roman" w:hAnsi="Times New Roman"/>
                <w:color w:val="000000"/>
                <w:sz w:val="28"/>
                <w:szCs w:val="28"/>
                <w:u w:val="single"/>
              </w:rPr>
            </w:pPr>
            <w:r w:rsidDel="00000000" w:rsidR="00000000" w:rsidRPr="00000000">
              <w:rPr>
                <w:rtl w:val="0"/>
              </w:rPr>
            </w:r>
          </w:p>
        </w:tc>
      </w:tr>
    </w:tbl>
    <w:p w:rsidR="00000000" w:rsidDel="00000000" w:rsidP="00000000" w:rsidRDefault="00000000" w:rsidRPr="00000000" w14:paraId="00000022">
      <w:pPr>
        <w:rPr>
          <w:rFonts w:ascii="Times New Roman" w:cs="Times New Roman" w:eastAsia="Times New Roman" w:hAnsi="Times New Roman"/>
          <w:color w:val="ff0000"/>
          <w:sz w:val="36"/>
          <w:szCs w:val="36"/>
          <w:u w:val="single"/>
        </w:rPr>
      </w:pPr>
      <w:r w:rsidDel="00000000" w:rsidR="00000000" w:rsidRPr="00000000">
        <w:rPr>
          <w:rFonts w:ascii="Times New Roman" w:cs="Times New Roman" w:eastAsia="Times New Roman" w:hAnsi="Times New Roman"/>
          <w:color w:val="ff0000"/>
          <w:sz w:val="36"/>
          <w:szCs w:val="36"/>
          <w:u w:val="single"/>
          <w:rtl w:val="0"/>
        </w:rPr>
        <w:t xml:space="preserve">Application :</w:t>
      </w:r>
    </w:p>
    <w:p w:rsidR="00000000" w:rsidDel="00000000" w:rsidP="00000000" w:rsidRDefault="00000000" w:rsidRPr="00000000" w14:paraId="00000023">
      <w:pPr>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4"/>
          <w:szCs w:val="24"/>
          <w:highlight w:val="white"/>
          <w:rtl w:val="0"/>
        </w:rPr>
        <w:t xml:space="preserve">La RAPD est utilisée dans diverses études de biologie moléculaire telles que l'identification de la différence génétique entre espèces étroitement apparentées, la cartographie des gènes, l'analyse de l'ADN, l'identification des maladies héréditaires, etc.</w:t>
      </w:r>
      <w:r w:rsidDel="00000000" w:rsidR="00000000" w:rsidRPr="00000000">
        <w:rPr>
          <w:rFonts w:ascii="Times New Roman" w:cs="Times New Roman" w:eastAsia="Times New Roman" w:hAnsi="Times New Roman"/>
          <w:color w:val="000000"/>
          <w:sz w:val="28"/>
          <w:szCs w:val="28"/>
          <w:u w:val="single"/>
          <w:rtl w:val="0"/>
        </w:rPr>
        <w:t xml:space="preserve"> </w:t>
      </w:r>
    </w:p>
    <w:p w:rsidR="00000000" w:rsidDel="00000000" w:rsidP="00000000" w:rsidRDefault="00000000" w:rsidRPr="00000000" w14:paraId="00000024">
      <w:pPr>
        <w:rPr>
          <w:rFonts w:ascii="Times New Roman" w:cs="Times New Roman" w:eastAsia="Times New Roman" w:hAnsi="Times New Roman"/>
          <w:color w:val="ff0000"/>
          <w:sz w:val="36"/>
          <w:szCs w:val="36"/>
          <w:u w:val="single"/>
        </w:rPr>
      </w:pPr>
      <w:r w:rsidDel="00000000" w:rsidR="00000000" w:rsidRPr="00000000">
        <w:rPr>
          <w:rFonts w:ascii="Times New Roman" w:cs="Times New Roman" w:eastAsia="Times New Roman" w:hAnsi="Times New Roman"/>
          <w:color w:val="ff0000"/>
          <w:sz w:val="36"/>
          <w:szCs w:val="36"/>
          <w:u w:val="single"/>
          <w:rtl w:val="0"/>
        </w:rPr>
        <w:t xml:space="preserve">Source :</w:t>
      </w:r>
    </w:p>
    <w:p w:rsidR="00000000" w:rsidDel="00000000" w:rsidP="00000000" w:rsidRDefault="00000000" w:rsidRPr="00000000" w14:paraId="0000002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Wikipédia :</w:t>
      </w:r>
    </w:p>
    <w:p w:rsidR="00000000" w:rsidDel="00000000" w:rsidP="00000000" w:rsidRDefault="00000000" w:rsidRPr="00000000" w14:paraId="00000026">
      <w:pPr>
        <w:rPr/>
      </w:pPr>
      <w:hyperlink r:id="rId8">
        <w:r w:rsidDel="00000000" w:rsidR="00000000" w:rsidRPr="00000000">
          <w:rPr>
            <w:color w:val="0000ff"/>
            <w:u w:val="single"/>
            <w:rtl w:val="0"/>
          </w:rPr>
          <w:t xml:space="preserve">https://fr.wikipedia.org/wiki/Amplification_al%C3%A9atoire_d%27ADN_polymorphe</w:t>
        </w:r>
      </w:hyperlink>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Image + application, différence entre RAPD et RFLP</w:t>
      </w:r>
    </w:p>
    <w:p w:rsidR="00000000" w:rsidDel="00000000" w:rsidP="00000000" w:rsidRDefault="00000000" w:rsidRPr="00000000" w14:paraId="00000028">
      <w:pPr>
        <w:rPr/>
      </w:pPr>
      <w:hyperlink r:id="rId9">
        <w:r w:rsidDel="00000000" w:rsidR="00000000" w:rsidRPr="00000000">
          <w:rPr>
            <w:color w:val="0000ff"/>
            <w:u w:val="single"/>
            <w:rtl w:val="0"/>
          </w:rPr>
          <w:t xml:space="preserve">https://www.differencebetween.com/difference-between-rapd-and-vs-rflp/</w:t>
        </w:r>
      </w:hyperlink>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en savoir plus : </w:t>
      </w:r>
    </w:p>
    <w:p w:rsidR="00000000" w:rsidDel="00000000" w:rsidP="00000000" w:rsidRDefault="00000000" w:rsidRPr="00000000" w14:paraId="0000002A">
      <w:pPr>
        <w:shd w:fill="ffffff" w:val="clear"/>
        <w:spacing w:after="24" w:before="280" w:line="240" w:lineRule="auto"/>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ADN (RAPD). </w:t>
      </w:r>
    </w:p>
    <w:p w:rsidR="00000000" w:rsidDel="00000000" w:rsidP="00000000" w:rsidRDefault="00000000" w:rsidRPr="00000000" w14:paraId="0000002B">
      <w:pPr>
        <w:shd w:fill="ffffff" w:val="clear"/>
        <w:spacing w:after="24" w:before="280" w:line="240" w:lineRule="auto"/>
        <w:rPr>
          <w:rFonts w:ascii="Arial" w:cs="Arial" w:eastAsia="Arial" w:hAnsi="Arial"/>
          <w:color w:val="222222"/>
          <w:sz w:val="21"/>
          <w:szCs w:val="21"/>
        </w:rPr>
      </w:pPr>
      <w:hyperlink r:id="rId10">
        <w:r w:rsidDel="00000000" w:rsidR="00000000" w:rsidRPr="00000000">
          <w:rPr>
            <w:rFonts w:ascii="Arial" w:cs="Arial" w:eastAsia="Arial" w:hAnsi="Arial"/>
            <w:color w:val="0000ff"/>
            <w:sz w:val="21"/>
            <w:szCs w:val="21"/>
            <w:u w:val="single"/>
            <w:rtl w:val="0"/>
          </w:rPr>
          <w:t xml:space="preserve">https://www.ncbi.nlm.nih.gov/projects/genome/probe/doc/TechRAPD.shtml</w:t>
        </w:r>
      </w:hyperlink>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00295F"/>
    <w:pPr>
      <w:ind w:left="720"/>
      <w:contextualSpacing w:val="1"/>
    </w:pPr>
  </w:style>
  <w:style w:type="paragraph" w:styleId="Textedebulles">
    <w:name w:val="Balloon Text"/>
    <w:basedOn w:val="Normal"/>
    <w:link w:val="TextedebullesCar"/>
    <w:uiPriority w:val="99"/>
    <w:semiHidden w:val="1"/>
    <w:unhideWhenUsed w:val="1"/>
    <w:rsid w:val="00B61C49"/>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B61C49"/>
    <w:rPr>
      <w:rFonts w:ascii="Segoe UI" w:cs="Segoe UI" w:hAnsi="Segoe UI"/>
      <w:sz w:val="18"/>
      <w:szCs w:val="18"/>
    </w:rPr>
  </w:style>
  <w:style w:type="table" w:styleId="Grilledutableau">
    <w:name w:val="Table Grid"/>
    <w:basedOn w:val="TableauNormal"/>
    <w:uiPriority w:val="39"/>
    <w:rsid w:val="0097441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lledetableauclaire">
    <w:name w:val="Grid Table Light"/>
    <w:basedOn w:val="TableauNormal"/>
    <w:uiPriority w:val="40"/>
    <w:rsid w:val="002E003C"/>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Lienhypertexte">
    <w:name w:val="Hyperlink"/>
    <w:basedOn w:val="Policepardfaut"/>
    <w:uiPriority w:val="99"/>
    <w:unhideWhenUsed w:val="1"/>
    <w:rsid w:val="00333041"/>
    <w:rPr>
      <w:color w:val="0000ff"/>
      <w:u w:val="single"/>
    </w:rPr>
  </w:style>
  <w:style w:type="character" w:styleId="Mentionnonrsolue">
    <w:name w:val="Unresolved Mention"/>
    <w:basedOn w:val="Policepardfaut"/>
    <w:uiPriority w:val="99"/>
    <w:semiHidden w:val="1"/>
    <w:unhideWhenUsed w:val="1"/>
    <w:rsid w:val="006E19B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ncbi.nlm.nih.gov/projects/genome/probe/doc/TechRAPD.shtml" TargetMode="External"/><Relationship Id="rId9" Type="http://schemas.openxmlformats.org/officeDocument/2006/relationships/hyperlink" Target="https://www.differencebetween.com/difference-between-rapd-and-vs-rfl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fr.wikipedia.org/wiki/Amplification_al%C3%A9atoire_d%27ADN_polymorp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es8aXK8quFKdH4gzPqgEGpXlVw==">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2019-09-19T16:16:00Z</dcterms:created>
  <dc:creator>SANE Axel</dc:creator>
</cp:coreProperties>
</file>