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sz w:val="36"/>
          <w:szCs w:val="36"/>
          <w:rtl w:val="0"/>
        </w:rPr>
        <w:t xml:space="preserve">Hybridation </w:t>
      </w:r>
      <w:r w:rsidDel="00000000" w:rsidR="00000000" w:rsidRPr="00000000">
        <w:rPr>
          <w:rFonts w:ascii="Times New Roman" w:cs="Times New Roman" w:eastAsia="Times New Roman" w:hAnsi="Times New Roman"/>
          <w:b w:val="1"/>
          <w:i w:val="1"/>
          <w:sz w:val="36"/>
          <w:szCs w:val="36"/>
          <w:rtl w:val="0"/>
        </w:rPr>
        <w:t xml:space="preserve">in situ </w:t>
      </w:r>
    </w:p>
    <w:p w:rsidR="00000000" w:rsidDel="00000000" w:rsidP="00000000" w:rsidRDefault="00000000" w:rsidRPr="00000000" w14:paraId="00000002">
      <w:pPr>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color w:val="0f6fc6"/>
          <w:rtl w:val="0"/>
        </w:rPr>
        <w:t xml:space="preserve">PRINCIPES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L’hybridation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situ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 est une technique ayant pour but de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localiser des cibles d’acides nucléiques mono-brins spécifiques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sur des cellules fixées</w:t>
      </w:r>
      <w:r w:rsidDel="00000000" w:rsidR="00000000" w:rsidRPr="00000000">
        <w:rPr>
          <w:rFonts w:ascii="Times New Roman" w:cs="Times New Roman" w:eastAsia="Times New Roman" w:hAnsi="Times New Roman"/>
          <w:sz w:val="24"/>
          <w:szCs w:val="24"/>
          <w:rtl w:val="0"/>
        </w:rPr>
        <w:t xml:space="preserve"> ou une coupe de tissu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ette technique est basée sur l’utilisation d’une sonde fluorescente </w:t>
      </w:r>
      <w:r w:rsidDel="00000000" w:rsidR="00000000" w:rsidRPr="00000000">
        <w:rPr>
          <w:rFonts w:ascii="Times New Roman" w:cs="Times New Roman" w:eastAsia="Times New Roman" w:hAnsi="Times New Roman"/>
          <w:sz w:val="24"/>
          <w:szCs w:val="24"/>
          <w:rtl w:val="0"/>
        </w:rPr>
        <w:t xml:space="preserve">qui correspond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à une séquence d’acide nucléique spécifique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gène cible.</w:t>
      </w:r>
    </w:p>
    <w:p w:rsidR="00000000" w:rsidDel="00000000" w:rsidP="00000000" w:rsidRDefault="00000000" w:rsidRPr="00000000" w14:paraId="00000003">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0f6fc6"/>
          <w:sz w:val="22"/>
          <w:szCs w:val="22"/>
          <w:rtl w:val="0"/>
        </w:rPr>
        <w:t xml:space="preserve">DESCRIPTION </w:t>
      </w:r>
      <w:r w:rsidDel="00000000" w:rsidR="00000000" w:rsidRPr="00000000">
        <w:rPr>
          <w:rtl w:val="0"/>
        </w:rPr>
        <w:t xml:space="preserve">                                                                                                                                                </w:t>
      </w:r>
      <w:r w:rsidDel="00000000" w:rsidR="00000000" w:rsidRPr="00000000">
        <w:rPr>
          <w:rFonts w:ascii="Times New Roman" w:cs="Times New Roman" w:eastAsia="Times New Roman" w:hAnsi="Times New Roman"/>
          <w:color w:val="222222"/>
          <w:sz w:val="24"/>
          <w:szCs w:val="24"/>
          <w:rtl w:val="0"/>
        </w:rPr>
        <w:t xml:space="preserve">Cette technique repose sur la complémentarité des bases nucléiques entre elles.  </w:t>
      </w:r>
      <w:r w:rsidDel="00000000" w:rsidR="00000000" w:rsidRPr="00000000">
        <w:rPr>
          <w:rFonts w:ascii="Times New Roman" w:cs="Times New Roman" w:eastAsia="Times New Roman" w:hAnsi="Times New Roman"/>
          <w:b w:val="0"/>
          <w:color w:val="222222"/>
          <w:sz w:val="24"/>
          <w:szCs w:val="24"/>
          <w:rtl w:val="0"/>
        </w:rPr>
        <w:t xml:space="preserve">Ainsi, pour localise</w:t>
      </w:r>
      <w:r w:rsidDel="00000000" w:rsidR="00000000" w:rsidRPr="00000000">
        <w:rPr>
          <w:rFonts w:ascii="Times New Roman" w:cs="Times New Roman" w:eastAsia="Times New Roman" w:hAnsi="Times New Roman"/>
          <w:color w:val="222222"/>
          <w:sz w:val="24"/>
          <w:szCs w:val="24"/>
          <w:rtl w:val="0"/>
        </w:rPr>
        <w:t xml:space="preserve">r une molécule d'ADN ou ARN, on doit :  </w:t>
      </w:r>
      <w:r w:rsidDel="00000000" w:rsidR="00000000" w:rsidRPr="00000000">
        <w:drawing>
          <wp:anchor allowOverlap="1" behindDoc="0" distB="0" distT="0" distL="114300" distR="114300" hidden="0" layoutInCell="1" locked="0" relativeHeight="0" simplePos="0">
            <wp:simplePos x="0" y="0"/>
            <wp:positionH relativeFrom="column">
              <wp:posOffset>3333750</wp:posOffset>
            </wp:positionH>
            <wp:positionV relativeFrom="paragraph">
              <wp:posOffset>419100</wp:posOffset>
            </wp:positionV>
            <wp:extent cx="2582545" cy="1826260"/>
            <wp:effectExtent b="0" l="0" r="0" t="0"/>
            <wp:wrapSquare wrapText="bothSides" distB="0" distT="0" distL="114300" distR="114300"/>
            <wp:docPr descr="Une image contenant texte&#10;&#10;Description générée automatiquement" id="8" name="image1.png"/>
            <a:graphic>
              <a:graphicData uri="http://schemas.openxmlformats.org/drawingml/2006/picture">
                <pic:pic>
                  <pic:nvPicPr>
                    <pic:cNvPr descr="Une image contenant texte&#10;&#10;Description générée automatiquement" id="0" name="image1.png"/>
                    <pic:cNvPicPr preferRelativeResize="0"/>
                  </pic:nvPicPr>
                  <pic:blipFill>
                    <a:blip r:embed="rId9"/>
                    <a:srcRect b="0" l="0" r="0" t="7792"/>
                    <a:stretch>
                      <a:fillRect/>
                    </a:stretch>
                  </pic:blipFill>
                  <pic:spPr>
                    <a:xfrm>
                      <a:off x="0" y="0"/>
                      <a:ext cx="2582545" cy="1826260"/>
                    </a:xfrm>
                    <a:prstGeom prst="rect"/>
                    <a:ln/>
                  </pic:spPr>
                </pic:pic>
              </a:graphicData>
            </a:graphic>
          </wp:anchor>
        </w:drawing>
      </w:r>
    </w:p>
    <w:p w:rsidR="00000000" w:rsidDel="00000000" w:rsidP="00000000" w:rsidRDefault="00000000" w:rsidRPr="00000000" w14:paraId="00000004">
      <w:pPr>
        <w:numPr>
          <w:ilvl w:val="0"/>
          <w:numId w:val="1"/>
        </w:numPr>
        <w:spacing w:after="0" w:afterAutospacing="0"/>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Préparer le tissus pour rendre les acides nucléiques disponibles pour l’hybridation</w:t>
      </w:r>
    </w:p>
    <w:p w:rsidR="00000000" w:rsidDel="00000000" w:rsidP="00000000" w:rsidRDefault="00000000" w:rsidRPr="00000000" w14:paraId="00000005">
      <w:pPr>
        <w:numPr>
          <w:ilvl w:val="0"/>
          <w:numId w:val="1"/>
        </w:numPr>
        <w:spacing w:after="0" w:afterAutospacing="0"/>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Fusion ou dénaturation,</w:t>
      </w:r>
      <w:r w:rsidDel="00000000" w:rsidR="00000000" w:rsidRPr="00000000">
        <w:rPr>
          <w:rFonts w:ascii="Times New Roman" w:cs="Times New Roman" w:eastAsia="Times New Roman" w:hAnsi="Times New Roman"/>
          <w:sz w:val="24"/>
          <w:szCs w:val="24"/>
          <w:rtl w:val="0"/>
        </w:rPr>
        <w:t xml:space="preserve"> la séquence double brin, en hélice devient mono-brin (in vitro avec agent chimique ou physique capable de déstabiliser les liaisons H, comme le pH, la T etc..</w:t>
      </w:r>
    </w:p>
    <w:p w:rsidR="00000000" w:rsidDel="00000000" w:rsidP="00000000" w:rsidRDefault="00000000" w:rsidRPr="00000000" w14:paraId="00000006">
      <w:pPr>
        <w:numPr>
          <w:ilvl w:val="0"/>
          <w:numId w:val="1"/>
        </w:numPr>
        <w:spacing w:after="0" w:afterAutospacing="0"/>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Choisir une sonde complémentaire de la séquence cible.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3333750</wp:posOffset>
                </wp:positionH>
                <wp:positionV relativeFrom="paragraph">
                  <wp:posOffset>246063</wp:posOffset>
                </wp:positionV>
                <wp:extent cx="3152775" cy="324167"/>
                <wp:effectExtent b="0" l="0" r="0" t="0"/>
                <wp:wrapNone/>
                <wp:docPr id="7" name=""/>
                <a:graphic>
                  <a:graphicData uri="http://schemas.microsoft.com/office/word/2010/wordprocessingShape">
                    <wps:wsp>
                      <wps:cNvSpPr/>
                      <wps:cNvPr id="2" name="Shape 2"/>
                      <wps:spPr>
                        <a:xfrm>
                          <a:off x="3772520" y="3631558"/>
                          <a:ext cx="3146961" cy="296884"/>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Fig. 1: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Principe de la technique FISH (docplayer.fr)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3333750</wp:posOffset>
                </wp:positionH>
                <wp:positionV relativeFrom="paragraph">
                  <wp:posOffset>246063</wp:posOffset>
                </wp:positionV>
                <wp:extent cx="3152775" cy="324167"/>
                <wp:effectExtent b="0" l="0" r="0" t="0"/>
                <wp:wrapNone/>
                <wp:docPr id="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152775" cy="324167"/>
                        </a:xfrm>
                        <a:prstGeom prst="rect"/>
                        <a:ln/>
                      </pic:spPr>
                    </pic:pic>
                  </a:graphicData>
                </a:graphic>
              </wp:anchor>
            </w:drawing>
          </mc:Fallback>
        </mc:AlternateConten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Marquer la sonde, pour qu'on puisse la                                                                                     repérer et la visualiser, par des</w:t>
      </w:r>
    </w:p>
    <w:p w:rsidR="00000000" w:rsidDel="00000000" w:rsidP="00000000" w:rsidRDefault="00000000" w:rsidRPr="00000000" w14:paraId="0000000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isotopes radioactifs, des produits fluorescents etc.. </w:t>
      </w:r>
    </w:p>
    <w:tbl>
      <w:tblPr>
        <w:tblStyle w:val="Table1"/>
        <w:tblW w:w="972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71"/>
        <w:gridCol w:w="4854"/>
        <w:tblGridChange w:id="0">
          <w:tblGrid>
            <w:gridCol w:w="4871"/>
            <w:gridCol w:w="4854"/>
          </w:tblGrid>
        </w:tblGridChange>
      </w:tblGrid>
      <w:tr>
        <w:trPr>
          <w:trHeight w:val="240" w:hRule="atLeast"/>
        </w:trPr>
        <w:tc>
          <w:tcPr>
            <w:shd w:fill="e7e6e6" w:val="clear"/>
            <w:vAlign w:val="center"/>
          </w:tcPr>
          <w:p w:rsidR="00000000" w:rsidDel="00000000" w:rsidP="00000000" w:rsidRDefault="00000000" w:rsidRPr="00000000" w14:paraId="00000009">
            <w:pPr>
              <w:rPr>
                <w:rFonts w:ascii="Times New Roman" w:cs="Times New Roman" w:eastAsia="Times New Roman" w:hAnsi="Times New Roman"/>
                <w:b w:val="1"/>
                <w:color w:val="0f6fc6"/>
              </w:rPr>
            </w:pPr>
            <w:r w:rsidDel="00000000" w:rsidR="00000000" w:rsidRPr="00000000">
              <w:rPr>
                <w:rFonts w:ascii="Times New Roman" w:cs="Times New Roman" w:eastAsia="Times New Roman" w:hAnsi="Times New Roman"/>
                <w:b w:val="1"/>
                <w:color w:val="0f6fc6"/>
                <w:rtl w:val="0"/>
              </w:rPr>
              <w:t xml:space="preserve">AVANTAGES</w:t>
            </w:r>
          </w:p>
        </w:tc>
        <w:tc>
          <w:tcPr>
            <w:shd w:fill="e7e6e6" w:val="clear"/>
            <w:vAlign w:val="center"/>
          </w:tcPr>
          <w:p w:rsidR="00000000" w:rsidDel="00000000" w:rsidP="00000000" w:rsidRDefault="00000000" w:rsidRPr="00000000" w14:paraId="0000000A">
            <w:pPr>
              <w:rPr>
                <w:rFonts w:ascii="Times New Roman" w:cs="Times New Roman" w:eastAsia="Times New Roman" w:hAnsi="Times New Roman"/>
                <w:b w:val="1"/>
                <w:color w:val="0f6fc6"/>
              </w:rPr>
            </w:pPr>
            <w:r w:rsidDel="00000000" w:rsidR="00000000" w:rsidRPr="00000000">
              <w:rPr>
                <w:rFonts w:ascii="Times New Roman" w:cs="Times New Roman" w:eastAsia="Times New Roman" w:hAnsi="Times New Roman"/>
                <w:b w:val="1"/>
                <w:color w:val="0f6fc6"/>
                <w:rtl w:val="0"/>
              </w:rPr>
              <w:t xml:space="preserve">INCONVENIENTS</w:t>
            </w:r>
          </w:p>
        </w:tc>
      </w:tr>
      <w:tr>
        <w:trPr>
          <w:trHeight w:val="640" w:hRule="atLeast"/>
        </w:trPr>
        <w:tc>
          <w:tcPr>
            <w:shd w:fill="e7e6e6" w:val="clear"/>
            <w:vAlign w:val="center"/>
          </w:tcPr>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quantitative et visuelle sur les ARNm étudiés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4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e7e6e6" w:val="clear"/>
            <w:vAlign w:val="center"/>
          </w:tcPr>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Nécessité de la dénaturer avant</w:t>
              <w:br w:type="textWrapping"/>
              <w:t xml:space="preserve">son utili</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ation</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0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Possibilité de ré hybridation sur</w:t>
              <w:br w:type="textWrapping"/>
              <w:t xml:space="preserve">elle-même</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405"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Séquence longue (prétraitements,</w:t>
              <w:br w:type="textWrapping"/>
            </w:r>
            <w:sdt>
              <w:sdtPr>
                <w:tag w:val="goog_rdk_0"/>
              </w:sdtPr>
              <w:sdtContent>
                <w:commentRangeStart w:id="0"/>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Tm </w:t>
            </w:r>
            <w:commentRangeEnd w:id="0"/>
            <w:r w:rsidDel="00000000" w:rsidR="00000000" w:rsidRPr="00000000">
              <w:commentReference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élevée (</w:t>
            </w:r>
            <w:r w:rsidDel="00000000" w:rsidR="00000000" w:rsidRPr="00000000">
              <w:rPr>
                <w:rFonts w:ascii="Times New Roman" w:cs="Times New Roman" w:eastAsia="Times New Roman" w:hAnsi="Times New Roman"/>
                <w:sz w:val="24"/>
                <w:szCs w:val="24"/>
                <w:rtl w:val="0"/>
              </w:rPr>
              <w:t xml:space="preserve">température de fusion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trHeight w:val="40" w:hRule="atLeast"/>
        </w:trPr>
        <w:tc>
          <w:tcPr>
            <w:shd w:fill="e7e6e6" w:val="clear"/>
            <w:vAlign w:val="center"/>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tc>
        <w:tc>
          <w:tcPr>
            <w:shd w:fill="e7e6e6" w:val="clear"/>
            <w:vAlign w:val="center"/>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f6fc6"/>
          <w:rtl w:val="0"/>
        </w:rPr>
        <w:t xml:space="preserve">APPLICATIONS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Visualisation de l’expression de gènes, de la co-expression de miRNA et de leurs gènes cibles ainsi que visualisation de la cinétique du profil d’expression de gènes. Validation de biomarqueurs dans un type cellulaire donné et d’expérience de knock-out.</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f6fc6"/>
          <w:rtl w:val="0"/>
        </w:rPr>
        <w:t xml:space="preserve">INFORMATIONS</w:t>
      </w:r>
      <w:r w:rsidDel="00000000" w:rsidR="00000000" w:rsidRPr="00000000">
        <w:rPr>
          <w:rFonts w:ascii="Times New Roman" w:cs="Times New Roman" w:eastAsia="Times New Roman" w:hAnsi="Times New Roman"/>
          <w:b w:val="1"/>
          <w:color w:val="0f6fc6"/>
          <w:rtl w:val="0"/>
        </w:rPr>
        <w:t xml:space="preserve"> COMPLEMENTAIRES</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Il existe 2 types de techniques d’hybridation</w:t>
      </w:r>
      <w:r w:rsidDel="00000000" w:rsidR="00000000" w:rsidRPr="00000000">
        <w:rPr>
          <w:rFonts w:ascii="Times New Roman" w:cs="Times New Roman" w:eastAsia="Times New Roman" w:hAnsi="Times New Roman"/>
          <w:i w:val="1"/>
          <w:sz w:val="24"/>
          <w:szCs w:val="24"/>
          <w:highlight w:val="white"/>
          <w:rtl w:val="0"/>
        </w:rPr>
        <w:t xml:space="preserve"> in situ, </w:t>
      </w:r>
      <w:r w:rsidDel="00000000" w:rsidR="00000000" w:rsidRPr="00000000">
        <w:rPr>
          <w:rFonts w:ascii="Times New Roman" w:cs="Times New Roman" w:eastAsia="Times New Roman" w:hAnsi="Times New Roman"/>
          <w:sz w:val="24"/>
          <w:szCs w:val="24"/>
          <w:highlight w:val="white"/>
          <w:rtl w:val="0"/>
        </w:rPr>
        <w:t xml:space="preserve">la FISH (“Fluorescent </w:t>
      </w:r>
      <w:r w:rsidDel="00000000" w:rsidR="00000000" w:rsidRPr="00000000">
        <w:rPr>
          <w:rFonts w:ascii="Times New Roman" w:cs="Times New Roman" w:eastAsia="Times New Roman" w:hAnsi="Times New Roman"/>
          <w:i w:val="1"/>
          <w:sz w:val="24"/>
          <w:szCs w:val="24"/>
          <w:highlight w:val="white"/>
          <w:rtl w:val="0"/>
        </w:rPr>
        <w:t xml:space="preserve">In Situ </w:t>
      </w:r>
      <w:r w:rsidDel="00000000" w:rsidR="00000000" w:rsidRPr="00000000">
        <w:rPr>
          <w:rFonts w:ascii="Times New Roman" w:cs="Times New Roman" w:eastAsia="Times New Roman" w:hAnsi="Times New Roman"/>
          <w:sz w:val="24"/>
          <w:szCs w:val="24"/>
          <w:highlight w:val="white"/>
          <w:rtl w:val="0"/>
        </w:rPr>
        <w:t xml:space="preserve">H</w:t>
      </w:r>
      <w:r w:rsidDel="00000000" w:rsidR="00000000" w:rsidRPr="00000000">
        <w:rPr>
          <w:rFonts w:ascii="Times New Roman" w:cs="Times New Roman" w:eastAsia="Times New Roman" w:hAnsi="Times New Roman"/>
          <w:sz w:val="24"/>
          <w:szCs w:val="24"/>
          <w:highlight w:val="white"/>
          <w:rtl w:val="0"/>
        </w:rPr>
        <w:t xml:space="preserve">ybridization”) dans laquelle  la sonde est marquée avec un fluorochrome (technique la plus utilisée) et d’autre part la CISH (“Chromogenic</w:t>
      </w:r>
      <w:r w:rsidDel="00000000" w:rsidR="00000000" w:rsidRPr="00000000">
        <w:rPr>
          <w:rFonts w:ascii="Times New Roman" w:cs="Times New Roman" w:eastAsia="Times New Roman" w:hAnsi="Times New Roman"/>
          <w:i w:val="1"/>
          <w:sz w:val="24"/>
          <w:szCs w:val="24"/>
          <w:highlight w:val="white"/>
          <w:rtl w:val="0"/>
        </w:rPr>
        <w:t xml:space="preserve"> In Situ </w:t>
      </w:r>
      <w:r w:rsidDel="00000000" w:rsidR="00000000" w:rsidRPr="00000000">
        <w:rPr>
          <w:rFonts w:ascii="Times New Roman" w:cs="Times New Roman" w:eastAsia="Times New Roman" w:hAnsi="Times New Roman"/>
          <w:sz w:val="24"/>
          <w:szCs w:val="24"/>
          <w:highlight w:val="white"/>
          <w:rtl w:val="0"/>
        </w:rPr>
        <w:t xml:space="preserve">H</w:t>
      </w:r>
      <w:r w:rsidDel="00000000" w:rsidR="00000000" w:rsidRPr="00000000">
        <w:rPr>
          <w:rFonts w:ascii="Times New Roman" w:cs="Times New Roman" w:eastAsia="Times New Roman" w:hAnsi="Times New Roman"/>
          <w:sz w:val="24"/>
          <w:szCs w:val="24"/>
          <w:highlight w:val="white"/>
          <w:rtl w:val="0"/>
        </w:rPr>
        <w:t xml:space="preserve">ybridization”) dans laquelle la sonde est marquée avec un</w:t>
      </w:r>
      <w:r w:rsidDel="00000000" w:rsidR="00000000" w:rsidRPr="00000000">
        <w:rPr>
          <w:rFonts w:ascii="Times New Roman" w:cs="Times New Roman" w:eastAsia="Times New Roman" w:hAnsi="Times New Roman"/>
          <w:sz w:val="24"/>
          <w:szCs w:val="24"/>
          <w:highlight w:val="white"/>
          <w:rtl w:val="0"/>
        </w:rPr>
        <w:t xml:space="preserve"> chromogène (substance pouvant produire un pigment).</w:t>
      </w:r>
      <w:r w:rsidDel="00000000" w:rsidR="00000000" w:rsidRPr="00000000">
        <w:rPr>
          <w:rtl w:val="0"/>
        </w:rPr>
      </w:r>
    </w:p>
    <w:sectPr>
      <w:pgSz w:h="16838" w:w="11906"/>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tine Thomas" w:id="0" w:date="2019-10-05T18:48:03Z">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préciser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bullet"/>
      <w:lvlText w:val="-"/>
      <w:lvlJc w:val="left"/>
      <w:pPr>
        <w:ind w:left="405" w:hanging="360"/>
      </w:pPr>
      <w:rPr>
        <w:rFonts w:ascii="Calibri" w:cs="Calibri" w:eastAsia="Calibri" w:hAnsi="Calibri"/>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C370E"/>
    <w:pPr>
      <w:spacing w:after="200" w:line="276" w:lineRule="auto"/>
    </w:pPr>
    <w:rPr>
      <w:rFonts w:eastAsiaTheme="minorEastAsia"/>
      <w:lang w:eastAsia="zh-CN" w:val="en-US"/>
    </w:rPr>
  </w:style>
  <w:style w:type="paragraph" w:styleId="Titre1">
    <w:name w:val="heading 1"/>
    <w:basedOn w:val="Normal"/>
    <w:next w:val="Normal"/>
    <w:link w:val="Titre1Car"/>
    <w:uiPriority w:val="9"/>
    <w:qFormat w:val="1"/>
    <w:rsid w:val="00C83216"/>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itre2">
    <w:name w:val="heading 2"/>
    <w:basedOn w:val="Normal"/>
    <w:next w:val="Normal"/>
    <w:link w:val="Titre2Car"/>
    <w:uiPriority w:val="9"/>
    <w:unhideWhenUsed w:val="1"/>
    <w:qFormat w:val="1"/>
    <w:rsid w:val="003C370E"/>
    <w:pPr>
      <w:keepNext w:val="1"/>
      <w:keepLines w:val="1"/>
      <w:spacing w:after="0" w:before="200"/>
      <w:outlineLvl w:val="1"/>
    </w:pPr>
    <w:rPr>
      <w:rFonts w:asciiTheme="majorHAnsi" w:cstheme="majorBidi" w:eastAsiaTheme="majorEastAsia" w:hAnsiTheme="majorHAnsi"/>
      <w:b w:val="1"/>
      <w:bCs w:val="1"/>
      <w:color w:val="4472c4" w:themeColor="accent1"/>
      <w:sz w:val="26"/>
      <w:szCs w:val="26"/>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2Car" w:customStyle="1">
    <w:name w:val="Titre 2 Car"/>
    <w:basedOn w:val="Policepardfaut"/>
    <w:link w:val="Titre2"/>
    <w:uiPriority w:val="9"/>
    <w:rsid w:val="003C370E"/>
    <w:rPr>
      <w:rFonts w:asciiTheme="majorHAnsi" w:cstheme="majorBidi" w:eastAsiaTheme="majorEastAsia" w:hAnsiTheme="majorHAnsi"/>
      <w:b w:val="1"/>
      <w:bCs w:val="1"/>
      <w:color w:val="4472c4" w:themeColor="accent1"/>
      <w:sz w:val="26"/>
      <w:szCs w:val="26"/>
      <w:lang w:eastAsia="zh-CN" w:val="en-US"/>
    </w:rPr>
  </w:style>
  <w:style w:type="table" w:styleId="Grilledutableau">
    <w:name w:val="Table Grid"/>
    <w:basedOn w:val="TableauNormal"/>
    <w:uiPriority w:val="59"/>
    <w:rsid w:val="003C370E"/>
    <w:pPr>
      <w:spacing w:after="0" w:line="240" w:lineRule="auto"/>
    </w:pPr>
    <w:rPr>
      <w:rFonts w:eastAsiaTheme="minorEastAsia"/>
      <w:lang w:eastAsia="zh-CN"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qFormat w:val="1"/>
    <w:rsid w:val="003C370E"/>
    <w:pPr>
      <w:ind w:left="720"/>
      <w:contextualSpacing w:val="1"/>
    </w:pPr>
  </w:style>
  <w:style w:type="paragraph" w:styleId="Lgende">
    <w:name w:val="caption"/>
    <w:basedOn w:val="Normal"/>
    <w:next w:val="Normal"/>
    <w:uiPriority w:val="35"/>
    <w:unhideWhenUsed w:val="1"/>
    <w:qFormat w:val="1"/>
    <w:rsid w:val="003C370E"/>
    <w:pPr>
      <w:spacing w:line="240" w:lineRule="auto"/>
    </w:pPr>
    <w:rPr>
      <w:i w:val="1"/>
      <w:iCs w:val="1"/>
      <w:color w:val="44546a" w:themeColor="text2"/>
      <w:sz w:val="18"/>
      <w:szCs w:val="18"/>
    </w:rPr>
  </w:style>
  <w:style w:type="paragraph" w:styleId="En-tte">
    <w:name w:val="header"/>
    <w:basedOn w:val="Normal"/>
    <w:link w:val="En-tteCar"/>
    <w:uiPriority w:val="99"/>
    <w:unhideWhenUsed w:val="1"/>
    <w:rsid w:val="003C370E"/>
    <w:pPr>
      <w:tabs>
        <w:tab w:val="center" w:pos="4536"/>
        <w:tab w:val="right" w:pos="9072"/>
      </w:tabs>
      <w:spacing w:after="0" w:line="240" w:lineRule="auto"/>
    </w:pPr>
  </w:style>
  <w:style w:type="character" w:styleId="En-tteCar" w:customStyle="1">
    <w:name w:val="En-tête Car"/>
    <w:basedOn w:val="Policepardfaut"/>
    <w:link w:val="En-tte"/>
    <w:uiPriority w:val="99"/>
    <w:rsid w:val="003C370E"/>
    <w:rPr>
      <w:rFonts w:eastAsiaTheme="minorEastAsia"/>
      <w:lang w:eastAsia="zh-CN" w:val="en-US"/>
    </w:rPr>
  </w:style>
  <w:style w:type="paragraph" w:styleId="Pieddepage">
    <w:name w:val="footer"/>
    <w:basedOn w:val="Normal"/>
    <w:link w:val="PieddepageCar"/>
    <w:uiPriority w:val="99"/>
    <w:unhideWhenUsed w:val="1"/>
    <w:rsid w:val="003C370E"/>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C370E"/>
    <w:rPr>
      <w:rFonts w:eastAsiaTheme="minorEastAsia"/>
      <w:lang w:eastAsia="zh-CN" w:val="en-US"/>
    </w:rPr>
  </w:style>
  <w:style w:type="paragraph" w:styleId="NormalWeb">
    <w:name w:val="Normal (Web)"/>
    <w:basedOn w:val="Normal"/>
    <w:uiPriority w:val="99"/>
    <w:semiHidden w:val="1"/>
    <w:unhideWhenUsed w:val="1"/>
    <w:rsid w:val="00994A78"/>
    <w:pPr>
      <w:spacing w:after="100" w:afterAutospacing="1" w:before="100" w:beforeAutospacing="1" w:line="240" w:lineRule="auto"/>
    </w:pPr>
    <w:rPr>
      <w:rFonts w:ascii="Times New Roman" w:cs="Times New Roman" w:eastAsia="Times New Roman" w:hAnsi="Times New Roman"/>
      <w:sz w:val="24"/>
      <w:szCs w:val="24"/>
      <w:lang w:eastAsia="fr-FR" w:val="fr-FR"/>
    </w:rPr>
  </w:style>
  <w:style w:type="character" w:styleId="Lienhypertexte">
    <w:name w:val="Hyperlink"/>
    <w:basedOn w:val="Policepardfaut"/>
    <w:uiPriority w:val="99"/>
    <w:semiHidden w:val="1"/>
    <w:unhideWhenUsed w:val="1"/>
    <w:rsid w:val="00994A78"/>
    <w:rPr>
      <w:color w:val="0000ff"/>
      <w:u w:val="single"/>
    </w:rPr>
  </w:style>
  <w:style w:type="paragraph" w:styleId="Sansinterligne">
    <w:name w:val="No Spacing"/>
    <w:uiPriority w:val="1"/>
    <w:qFormat w:val="1"/>
    <w:rsid w:val="00C83216"/>
    <w:pPr>
      <w:spacing w:after="0" w:line="240" w:lineRule="auto"/>
    </w:pPr>
    <w:rPr>
      <w:rFonts w:eastAsiaTheme="minorEastAsia"/>
      <w:lang w:eastAsia="zh-CN" w:val="en-US"/>
    </w:rPr>
  </w:style>
  <w:style w:type="character" w:styleId="Accentuation">
    <w:name w:val="Emphasis"/>
    <w:basedOn w:val="Policepardfaut"/>
    <w:uiPriority w:val="20"/>
    <w:qFormat w:val="1"/>
    <w:rsid w:val="00C83216"/>
    <w:rPr>
      <w:i w:val="1"/>
      <w:iCs w:val="1"/>
    </w:rPr>
  </w:style>
  <w:style w:type="character" w:styleId="Titre1Car" w:customStyle="1">
    <w:name w:val="Titre 1 Car"/>
    <w:basedOn w:val="Policepardfaut"/>
    <w:link w:val="Titre1"/>
    <w:uiPriority w:val="9"/>
    <w:rsid w:val="00C83216"/>
    <w:rPr>
      <w:rFonts w:asciiTheme="majorHAnsi" w:cstheme="majorBidi" w:eastAsiaTheme="majorEastAsia" w:hAnsiTheme="majorHAnsi"/>
      <w:color w:val="2f5496" w:themeColor="accent1" w:themeShade="0000BF"/>
      <w:sz w:val="32"/>
      <w:szCs w:val="32"/>
      <w:lang w:eastAsia="zh-CN" w:val="en-US"/>
    </w:rPr>
  </w:style>
  <w:style w:type="character" w:styleId="Rfrencelgre">
    <w:name w:val="Subtle Reference"/>
    <w:basedOn w:val="Policepardfaut"/>
    <w:uiPriority w:val="31"/>
    <w:qFormat w:val="1"/>
    <w:rsid w:val="00D854EF"/>
    <w:rPr>
      <w:smallCaps w:val="1"/>
      <w:color w:val="5a5a5a" w:themeColor="text1" w:themeTint="0000A5"/>
    </w:rPr>
  </w:style>
  <w:style w:type="character" w:styleId="Accentuationlgre">
    <w:name w:val="Subtle Emphasis"/>
    <w:basedOn w:val="Policepardfaut"/>
    <w:uiPriority w:val="19"/>
    <w:qFormat w:val="1"/>
    <w:rsid w:val="00D04C08"/>
    <w:rPr>
      <w:i w:val="1"/>
      <w:iCs w:val="1"/>
      <w:color w:val="404040" w:themeColor="text1" w:themeTint="0000BF"/>
    </w:rPr>
  </w:style>
  <w:style w:type="paragraph" w:styleId="Citation">
    <w:name w:val="Quote"/>
    <w:basedOn w:val="Normal"/>
    <w:next w:val="Normal"/>
    <w:link w:val="CitationCar"/>
    <w:uiPriority w:val="29"/>
    <w:qFormat w:val="1"/>
    <w:rsid w:val="00D04C08"/>
    <w:pPr>
      <w:spacing w:after="160" w:before="200"/>
      <w:ind w:left="864" w:right="864"/>
      <w:jc w:val="center"/>
    </w:pPr>
    <w:rPr>
      <w:i w:val="1"/>
      <w:iCs w:val="1"/>
      <w:color w:val="404040" w:themeColor="text1" w:themeTint="0000BF"/>
    </w:rPr>
  </w:style>
  <w:style w:type="character" w:styleId="CitationCar" w:customStyle="1">
    <w:name w:val="Citation Car"/>
    <w:basedOn w:val="Policepardfaut"/>
    <w:link w:val="Citation"/>
    <w:uiPriority w:val="29"/>
    <w:rsid w:val="00D04C08"/>
    <w:rPr>
      <w:rFonts w:eastAsiaTheme="minorEastAsia"/>
      <w:i w:val="1"/>
      <w:iCs w:val="1"/>
      <w:color w:val="404040" w:themeColor="text1" w:themeTint="0000BF"/>
      <w:lang w:eastAsia="zh-CN"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UsO2ugSY3Himny8V3+U1KCnegw==">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2019-09-25T17:17:00Z</dcterms:created>
  <dc:creator>Cyrine SAID ALI</dc:creator>
</cp:coreProperties>
</file>