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Co-immunoprécipitation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La co-immunoprécipitation permet de détecter une protéine grâce à une autre protéine associée à un anticorps. Il est donc identifié un complexe protéique qui, analysé, permet d’étudier ses interactions.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Elle se base sur les méthodes d’immunoprécipitation (cf fiche Immunoprécipitation).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Les grandes étapes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 cellules/tissus contenant la première protéine interagissant avec la protéine d’intérêt.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du complexe protéine par un anticorps spécifique.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Précipitation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avec des billes (agarose, sépharose…).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(isole le complexe protéique du reste).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(SDS-PAGE, Spectrométrie de masse, Western blot…)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 identification de la protéine d’intérêt liée à la première protéine.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color w:val="666666"/>
          <w:highlight w:val="white"/>
        </w:rPr>
      </w:pPr>
      <w:r w:rsidDel="00000000" w:rsidR="00000000" w:rsidRPr="00000000">
        <w:rPr/>
        <w:drawing>
          <wp:inline distB="0" distT="0" distL="0" distR="0">
            <wp:extent cx="5760720" cy="1991360"/>
            <wp:effectExtent b="0" l="0" r="0" t="0"/>
            <wp:docPr descr="Co-immunoprecipitation-1024x354.png (1024Ã354)" id="2" name="image1.png"/>
            <a:graphic>
              <a:graphicData uri="http://schemas.openxmlformats.org/drawingml/2006/picture">
                <pic:pic>
                  <pic:nvPicPr>
                    <pic:cNvPr descr="Co-immunoprecipitation-1024x354.png (1024Ã354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1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Schéma de la co-immunoprécipitation.</w:t>
      </w:r>
    </w:p>
    <w:p w:rsidR="00000000" w:rsidDel="00000000" w:rsidP="00000000" w:rsidRDefault="00000000" w:rsidRPr="00000000" w14:paraId="0000000E">
      <w:pPr>
        <w:pStyle w:val="Heading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Avantages et inconvénients 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8eaadb" w:space="0" w:sz="4" w:val="single"/>
          <w:left w:color="000000" w:space="0" w:sz="4" w:val="single"/>
          <w:bottom w:color="8eaadb" w:space="0" w:sz="4" w:val="single"/>
          <w:right w:color="000000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Avantages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Inconvénients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Conditions presque physiologiques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Les interactions faibles ou  courtes ne sont pas détectées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Spécifique, simple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Sélection des anticorps difficile car spécifique à une protéine cible interagissant elle-même avec une autre protéine.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Complexe compatible avec beaucoup de techniques d’analyse (western blot, spectrométrie de masse…)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Méthode moins efficace si 3 protéines entrent en jeu.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Utilisations 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Prouver l’interaction entre deux protéines.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Identifier une nouvelle protéine grâce à une protéine connue.</w:t>
      </w:r>
    </w:p>
    <w:p w:rsidR="00000000" w:rsidDel="00000000" w:rsidP="00000000" w:rsidRDefault="00000000" w:rsidRPr="00000000" w14:paraId="0000001C">
      <w:pPr>
        <w:pStyle w:val="Subtitle"/>
        <w:rPr/>
      </w:pPr>
      <w:r w:rsidDel="00000000" w:rsidR="00000000" w:rsidRPr="00000000">
        <w:rPr>
          <w:rtl w:val="0"/>
        </w:rPr>
        <w:t xml:space="preserve">Sources</w:t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Expedeon : </w:t>
      </w:r>
      <w:hyperlink r:id="rId8">
        <w:r w:rsidDel="00000000" w:rsidR="00000000" w:rsidRPr="00000000">
          <w:rPr>
            <w:color w:val="0563c1"/>
            <w:sz w:val="16"/>
            <w:szCs w:val="16"/>
            <w:u w:val="single"/>
            <w:rtl w:val="0"/>
          </w:rPr>
          <w:t xml:space="preserve">https://www.expedeon.com/resources/applications/immunoprecipitation/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TermoFisherScientific : </w:t>
      </w:r>
      <w:hyperlink r:id="rId9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https://www.thermofisher.com/fr/fr/home/life-science/protein-biology/protein-biology-learning-center/protein-biology-resource-library/pierce-protein-methods/co-immunoprecipitation-co-ip.html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rPr/>
      </w:pPr>
      <w:r w:rsidDel="00000000" w:rsidR="00000000" w:rsidRPr="00000000">
        <w:rPr>
          <w:rtl w:val="0"/>
        </w:rPr>
        <w:t xml:space="preserve">Pour aller plus loin</w:t>
      </w:r>
    </w:p>
    <w:p w:rsidR="00000000" w:rsidDel="00000000" w:rsidP="00000000" w:rsidRDefault="00000000" w:rsidRPr="00000000" w14:paraId="0000002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Mybiosource.com : </w:t>
      </w:r>
      <w:hyperlink r:id="rId10">
        <w:r w:rsidDel="00000000" w:rsidR="00000000" w:rsidRPr="00000000">
          <w:rPr>
            <w:color w:val="0563c1"/>
            <w:sz w:val="20"/>
            <w:szCs w:val="20"/>
            <w:highlight w:val="white"/>
            <w:u w:val="single"/>
            <w:rtl w:val="0"/>
          </w:rPr>
          <w:t xml:space="preserve">https://www.mybiosource.com/learn/assay-learning-center/coimmunoprecipitation/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Creative Biomart : https://www.creativebiomart.net/resource/principle-protocol-principle-and-protocol-of-co-immunoprecipitation-364.htm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color w:val="66666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CF54C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A33F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A33F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Titre1Car" w:customStyle="1">
    <w:name w:val="Titre 1 Car"/>
    <w:basedOn w:val="Policepardfaut"/>
    <w:link w:val="Titre1"/>
    <w:uiPriority w:val="9"/>
    <w:rsid w:val="00CF54C8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Paragraphedeliste">
    <w:name w:val="List Paragraph"/>
    <w:basedOn w:val="Normal"/>
    <w:uiPriority w:val="34"/>
    <w:qFormat w:val="1"/>
    <w:rsid w:val="0090082C"/>
    <w:pPr>
      <w:ind w:left="720"/>
      <w:contextualSpacing w:val="1"/>
    </w:pPr>
  </w:style>
  <w:style w:type="paragraph" w:styleId="Sous-titre">
    <w:name w:val="Subtitle"/>
    <w:basedOn w:val="Normal"/>
    <w:next w:val="Normal"/>
    <w:link w:val="Sous-titreCar"/>
    <w:uiPriority w:val="11"/>
    <w:qFormat w:val="1"/>
    <w:rsid w:val="00AC5DD6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AC5DD6"/>
    <w:rPr>
      <w:rFonts w:eastAsiaTheme="minorEastAsia"/>
      <w:color w:val="5a5a5a" w:themeColor="text1" w:themeTint="0000A5"/>
      <w:spacing w:val="15"/>
    </w:rPr>
  </w:style>
  <w:style w:type="table" w:styleId="Grilledutableau">
    <w:name w:val="Table Grid"/>
    <w:basedOn w:val="TableauNormal"/>
    <w:uiPriority w:val="39"/>
    <w:rsid w:val="00AC5DD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auGrille2-Accentuation5">
    <w:name w:val="Grid Table 2 Accent 5"/>
    <w:basedOn w:val="TableauNormal"/>
    <w:uiPriority w:val="47"/>
    <w:rsid w:val="00AC5DD6"/>
    <w:pPr>
      <w:spacing w:after="0" w:line="240" w:lineRule="auto"/>
    </w:pPr>
    <w:tblPr>
      <w:tblStyleRowBandSize w:val="1"/>
      <w:tblStyleColBandSize w:val="1"/>
      <w:tblBorders>
        <w:top w:color="8eaadb" w:space="0" w:sz="2" w:themeColor="accent5" w:themeTint="000099" w:val="single"/>
        <w:bottom w:color="8eaadb" w:space="0" w:sz="2" w:themeColor="accent5" w:themeTint="000099" w:val="single"/>
        <w:insideH w:color="8eaadb" w:space="0" w:sz="2" w:themeColor="accent5" w:themeTint="000099" w:val="single"/>
        <w:insideV w:color="8eaadb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eaadb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8eaadb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mybiosource.com/learn/assay-learning-center/coimmunoprecipitation/" TargetMode="External"/><Relationship Id="rId9" Type="http://schemas.openxmlformats.org/officeDocument/2006/relationships/hyperlink" Target="https://www.thermofisher.com/fr/fr/home/life-science/protein-biology/protein-biology-learning-center/protein-biology-resource-library/pierce-protein-methods/co-immunoprecipitation-co-ip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expedeon.com/resources/applications/immunoprecipit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pI7Vs6cey1uZPTQQuMCtZTweQ==">AMUW2mVpiLOx6pUOtka8mcLpJqXHqsYoeubWHcGU1EM7vQhP0kD3PmElnlFcmlImEX+c9G2HXqJVO3wamYyLgn4w0Rpv78ezCwlZ1T7an43TGq+MggDRON+Iyr1WohOjfMf/RZWZvF6Jy4x3K3RTZgdwmJDUrARNFgobc9hbnBIDkT5wD6wcCEOGcyHC9sNCx5vc6KHTDNO12xVbpinVPUr/lVqFxMP0XdeMBqrt2IE9ZPwel0sTU8whfQGn4ICR2UAr6ATimlg+gGxHwQ2HXVavmKAoPbjM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2019-09-19T16:18:00Z</dcterms:created>
  <dc:creator>Romane Pellerin</dc:creator>
</cp:coreProperties>
</file>