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Chip (Chromatin Immunoprecipitation)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Cela permet d’identifier des sites de liaison d’une protéine spécifique sur le génome  (interaction protéines-ADN) à l’aide d’une immunoprécipitation.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Les grandes étapes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Cellules traitées au formaldéhyde (fixe la région d’interaction entre ADN et protéine).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Cellules lysées et chromatine décomposée en petits fragments (sonicator ou digestion enzymatique).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Immunoprécipitation visant </w:t>
      </w:r>
      <w:r w:rsidDel="00000000" w:rsidR="00000000" w:rsidRPr="00000000">
        <w:rPr>
          <w:rtl w:val="0"/>
        </w:rPr>
        <w:t xml:space="preserve">une protéine interagissant avec l’ADN (histone…).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Obtention de l’ADN purifié.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Identification de la région génomique de fixation de la protéine étudiée et marquage.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PCR pour amplifier et séquencer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l’ADN (déterminer la séquence de nucléotides du gène étudié), ce qui permet de mesurer l’abondance de cette région d’interaction.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/>
        <w:drawing>
          <wp:inline distB="0" distT="0" distL="0" distR="0">
            <wp:extent cx="2877434" cy="3326875"/>
            <wp:effectExtent b="0" l="0" r="0" t="0"/>
            <wp:docPr descr="ChIP-seq.png (672Ã777)" id="3" name="image1.png"/>
            <a:graphic>
              <a:graphicData uri="http://schemas.openxmlformats.org/drawingml/2006/picture">
                <pic:pic>
                  <pic:nvPicPr>
                    <pic:cNvPr descr="ChIP-seq.png (672Ã777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7434" cy="332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i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1"/>
          <w:szCs w:val="21"/>
          <w:highlight w:val="white"/>
          <w:rtl w:val="0"/>
        </w:rPr>
        <w:t xml:space="preserve">Fig1. Schéma d’une CHIP.</w:t>
      </w:r>
    </w:p>
    <w:p w:rsidR="00000000" w:rsidDel="00000000" w:rsidP="00000000" w:rsidRDefault="00000000" w:rsidRPr="00000000" w14:paraId="0000000F">
      <w:pPr>
        <w:pStyle w:val="Heading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Utilisations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Identifier des protéines ou des régions avec lesquelles </w:t>
      </w:r>
      <w:r w:rsidDel="00000000" w:rsidR="00000000" w:rsidRPr="00000000">
        <w:rPr>
          <w:rtl w:val="0"/>
        </w:rPr>
        <w:t xml:space="preserve">certaines protéines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interagissent.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Analyse de réplication, différenciation, mitose…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Avantages et inconvénients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8eaadb" w:space="0" w:sz="4" w:val="single"/>
          <w:left w:color="000000" w:space="0" w:sz="4" w:val="single"/>
          <w:bottom w:color="8eaadb" w:space="0" w:sz="4" w:val="single"/>
          <w:right w:color="000000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Avantages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Inconvénients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Spécifique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Choix des amorces pour la PCR difficile car spécifique : nécessite d’avoir une idée de la séquence avec laquelle la protéine étudiée interagit.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Sources :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Chaligné R., </w:t>
      </w:r>
      <w:r w:rsidDel="00000000" w:rsidR="00000000" w:rsidRPr="00000000">
        <w:rPr>
          <w:sz w:val="20"/>
          <w:szCs w:val="20"/>
          <w:rtl w:val="0"/>
        </w:rPr>
        <w:t xml:space="preserve">Utilisation d’AC en recherche :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http://www.edu.upmc.fr/sdv/immuno/immuno2/doc/itb/2012/nv532/acm/ITB2012_NV532ITB_mAb_Utilisation_en_Recherche_111017.pdf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Bioinfo-fr.net 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https://bioinfo-fr.net/dnase-seq-faire-seq-chip-seq-3-outils-danalyse-de-la-regulation-de-lexpression-des-genes</w:t>
      </w:r>
    </w:p>
    <w:p w:rsidR="00000000" w:rsidDel="00000000" w:rsidP="00000000" w:rsidRDefault="00000000" w:rsidRPr="00000000" w14:paraId="0000001D">
      <w:pPr>
        <w:pStyle w:val="Subtitle"/>
        <w:rPr/>
      </w:pPr>
      <w:r w:rsidDel="00000000" w:rsidR="00000000" w:rsidRPr="00000000">
        <w:rPr>
          <w:rtl w:val="0"/>
        </w:rPr>
        <w:t xml:space="preserve">Pour aller plus loin :</w:t>
      </w:r>
    </w:p>
    <w:p w:rsidR="00000000" w:rsidDel="00000000" w:rsidP="00000000" w:rsidRDefault="00000000" w:rsidRPr="00000000" w14:paraId="0000001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Mybiosource.com : </w:t>
      </w:r>
      <w:hyperlink r:id="rId9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https://www.mybiosource.com/learn/assay-learning-center/coimmunoprecipitation/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Bloyer S. (2010) L’immunoprépcipitation de chromatine et d’ADN méthylé : http://genetique.snv.jussieu.fr/OLD%20SITE/documents%202010/atelier%20epi_2010/Presentation%20du%20stage_Seb_2010.pdf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B8799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7A19F2"/>
    <w:rPr>
      <w:color w:val="0000ff"/>
      <w:u w:val="single"/>
    </w:rPr>
  </w:style>
  <w:style w:type="character" w:styleId="soustitre" w:customStyle="1">
    <w:name w:val="soustitre"/>
    <w:basedOn w:val="Policepardfaut"/>
    <w:rsid w:val="007A19F2"/>
  </w:style>
  <w:style w:type="character" w:styleId="Accentuation">
    <w:name w:val="Emphasis"/>
    <w:basedOn w:val="Policepardfaut"/>
    <w:uiPriority w:val="20"/>
    <w:qFormat w:val="1"/>
    <w:rsid w:val="007A19F2"/>
    <w:rPr>
      <w:i w:val="1"/>
      <w:iCs w:val="1"/>
    </w:rPr>
  </w:style>
  <w:style w:type="character" w:styleId="Titre1Car" w:customStyle="1">
    <w:name w:val="Titre 1 Car"/>
    <w:basedOn w:val="Policepardfaut"/>
    <w:link w:val="Titre1"/>
    <w:uiPriority w:val="9"/>
    <w:rsid w:val="00B87991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Paragraphedeliste">
    <w:name w:val="List Paragraph"/>
    <w:basedOn w:val="Normal"/>
    <w:uiPriority w:val="34"/>
    <w:qFormat w:val="1"/>
    <w:rsid w:val="00B87991"/>
    <w:pPr>
      <w:ind w:left="720"/>
      <w:contextualSpacing w:val="1"/>
    </w:pPr>
  </w:style>
  <w:style w:type="paragraph" w:styleId="Sous-titre">
    <w:name w:val="Subtitle"/>
    <w:basedOn w:val="Normal"/>
    <w:next w:val="Normal"/>
    <w:link w:val="Sous-titreCar"/>
    <w:uiPriority w:val="11"/>
    <w:qFormat w:val="1"/>
    <w:rsid w:val="002E7FA2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2E7FA2"/>
    <w:rPr>
      <w:rFonts w:eastAsiaTheme="minorEastAsia"/>
      <w:color w:val="5a5a5a" w:themeColor="text1" w:themeTint="0000A5"/>
      <w:spacing w:val="15"/>
    </w:rPr>
  </w:style>
  <w:style w:type="table" w:styleId="Grilledutableau">
    <w:name w:val="Table Grid"/>
    <w:basedOn w:val="TableauNormal"/>
    <w:uiPriority w:val="39"/>
    <w:rsid w:val="006C1C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auGrille2-Accentuation5">
    <w:name w:val="Grid Table 2 Accent 5"/>
    <w:basedOn w:val="TableauNormal"/>
    <w:uiPriority w:val="47"/>
    <w:rsid w:val="006C1CB9"/>
    <w:pPr>
      <w:spacing w:after="0" w:line="240" w:lineRule="auto"/>
    </w:pPr>
    <w:tblPr>
      <w:tblStyleRowBandSize w:val="1"/>
      <w:tblStyleColBandSize w:val="1"/>
      <w:tblBorders>
        <w:top w:color="8eaadb" w:space="0" w:sz="2" w:themeColor="accent5" w:themeTint="000099" w:val="single"/>
        <w:bottom w:color="8eaadb" w:space="0" w:sz="2" w:themeColor="accent5" w:themeTint="000099" w:val="single"/>
        <w:insideH w:color="8eaadb" w:space="0" w:sz="2" w:themeColor="accent5" w:themeTint="000099" w:val="single"/>
        <w:insideV w:color="8eaadb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8eaadb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ybiosource.com/learn/assay-learning-center/coimmunoprecipit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edu.upmc.fr/sdv/immuno/immuno2/doc/itb/2012/nv532/acm/ITB2012_NV532ITB_mAb_Utilisation_en_Recherche_111017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miDua7RILeySg3w+Hmrnpi2Qg==">AMUW2mUfpZm7MLepZ4+ww9A1FMTkOtViOnrt4icGGw4EI4NYCOGvlLykSr2XgA50MCcwV5KHJexVqVbOZj1HtAenKDpyGzW8KRBcIBMLSL/xoeB9Pz6pyqd1W8uuQ9lv4AU79IWPTJKFj36Ntf7DTP++wkf2h2XS38gwDuCuDsI76ENW0agQNGpI1LShoiKyiDqjiQT742dfA3xnbT9i4itkRwLG+5UAgOxwi8NAdYgjfJnL/I15LyeW4vZ0Px7l+m1NHklwobv8eR3iiu+wYkKGNImmYTxmNT/Ojd9cbq+UNuoMy5hDNcKxMkgie3jW83BIelUvNTxZ5eP2wlbS3z1JJxicvUcNbb9BmPcCaS6DYjYSR58FLpNdvylJ/WxbCdKYjqRMS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2019-09-24T14:01:00Z</dcterms:created>
  <dc:creator>Romane Pellerin</dc:creator>
</cp:coreProperties>
</file>