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34" w:rsidRDefault="006F591A">
      <w:r>
        <w:t>Propositions de mycologie médic</w:t>
      </w:r>
      <w:r w:rsidR="0052016E">
        <w:t>ale pour concours blanc mai 2018</w:t>
      </w:r>
    </w:p>
    <w:p w:rsidR="00592B13" w:rsidRDefault="00592B13"/>
    <w:p w:rsidR="00592B13" w:rsidRPr="00592B13" w:rsidRDefault="00592B13" w:rsidP="00592B13">
      <w:pPr>
        <w:jc w:val="center"/>
        <w:rPr>
          <w:b/>
          <w:sz w:val="28"/>
          <w:szCs w:val="28"/>
        </w:rPr>
      </w:pPr>
      <w:r w:rsidRPr="00592B13">
        <w:rPr>
          <w:b/>
          <w:sz w:val="28"/>
          <w:szCs w:val="28"/>
        </w:rPr>
        <w:t>QCS-QCM</w:t>
      </w:r>
    </w:p>
    <w:p w:rsidR="006F591A" w:rsidRDefault="006F591A"/>
    <w:p w:rsidR="006F591A" w:rsidRDefault="006F591A">
      <w:r>
        <w:t>QCS</w:t>
      </w:r>
    </w:p>
    <w:p w:rsidR="00B64532" w:rsidRPr="00EE1805" w:rsidRDefault="00B64532" w:rsidP="00B64532">
      <w:r>
        <w:t>Parmi les situations pathologiques suivantes, laquelle ne constitue pas potentiellement un risque  de développer une candidose  invasive?</w:t>
      </w:r>
    </w:p>
    <w:p w:rsidR="005A3EA0" w:rsidRDefault="005A3EA0" w:rsidP="005A3EA0">
      <w:r>
        <w:t>- asthme</w:t>
      </w:r>
    </w:p>
    <w:p w:rsidR="005A3EA0" w:rsidRDefault="005A3EA0" w:rsidP="005A3EA0">
      <w:r>
        <w:t xml:space="preserve">- chirurgie cardiaque </w:t>
      </w:r>
    </w:p>
    <w:p w:rsidR="005A3EA0" w:rsidRDefault="005A3EA0" w:rsidP="005A3EA0">
      <w:r>
        <w:t>- diabète</w:t>
      </w:r>
    </w:p>
    <w:p w:rsidR="005A3EA0" w:rsidRDefault="005A3EA0" w:rsidP="005A3EA0">
      <w:r>
        <w:t>- greffe de cellules souches</w:t>
      </w:r>
    </w:p>
    <w:p w:rsidR="005A3EA0" w:rsidRDefault="005A3EA0" w:rsidP="005A3EA0">
      <w:r>
        <w:t>- toxicomanie IV</w:t>
      </w:r>
    </w:p>
    <w:p w:rsidR="00EE1805" w:rsidRDefault="00EE1805"/>
    <w:p w:rsidR="006F591A" w:rsidRDefault="006F591A">
      <w:r>
        <w:t xml:space="preserve">Parmi les antifongiques </w:t>
      </w:r>
      <w:r w:rsidR="000D3BFF">
        <w:t>suivants lequel est</w:t>
      </w:r>
      <w:r w:rsidR="0052016E">
        <w:t xml:space="preserve"> spécifiquement destiné au traitement des onychomycoses</w:t>
      </w:r>
      <w:r>
        <w:t>?</w:t>
      </w:r>
    </w:p>
    <w:p w:rsidR="006F591A" w:rsidRDefault="006F591A">
      <w:r>
        <w:t xml:space="preserve">- </w:t>
      </w:r>
      <w:proofErr w:type="spellStart"/>
      <w:r>
        <w:t>amphothéricine</w:t>
      </w:r>
      <w:proofErr w:type="spellEnd"/>
      <w:r>
        <w:t xml:space="preserve"> B</w:t>
      </w:r>
    </w:p>
    <w:p w:rsidR="0052016E" w:rsidRDefault="0052016E">
      <w:r>
        <w:t xml:space="preserve">- </w:t>
      </w:r>
      <w:proofErr w:type="spellStart"/>
      <w:r>
        <w:t>caspofungine</w:t>
      </w:r>
      <w:proofErr w:type="spellEnd"/>
    </w:p>
    <w:p w:rsidR="0052016E" w:rsidRDefault="006F591A">
      <w:r>
        <w:t xml:space="preserve">- </w:t>
      </w:r>
      <w:proofErr w:type="spellStart"/>
      <w:r>
        <w:t>fluconazole</w:t>
      </w:r>
      <w:proofErr w:type="spellEnd"/>
    </w:p>
    <w:p w:rsidR="006F591A" w:rsidRDefault="006F591A">
      <w:r>
        <w:t xml:space="preserve">- </w:t>
      </w:r>
      <w:proofErr w:type="spellStart"/>
      <w:r>
        <w:t>posaconazole</w:t>
      </w:r>
      <w:proofErr w:type="spellEnd"/>
    </w:p>
    <w:p w:rsidR="006F591A" w:rsidRDefault="006F591A">
      <w:r>
        <w:t xml:space="preserve">- </w:t>
      </w:r>
      <w:proofErr w:type="spellStart"/>
      <w:r>
        <w:t>terbinafine</w:t>
      </w:r>
      <w:proofErr w:type="spellEnd"/>
    </w:p>
    <w:p w:rsidR="006F591A" w:rsidRDefault="006F591A"/>
    <w:p w:rsidR="006F591A" w:rsidRDefault="006F591A">
      <w:r>
        <w:t xml:space="preserve">Lequel de ces antifongiques agit sur la </w:t>
      </w:r>
      <w:r w:rsidR="0052016E">
        <w:t>synthèse des acides nucléiques</w:t>
      </w:r>
      <w:r w:rsidR="00B64532">
        <w:t xml:space="preserve"> fongiques</w:t>
      </w:r>
      <w:r>
        <w:t>?</w:t>
      </w:r>
    </w:p>
    <w:p w:rsidR="006F591A" w:rsidRDefault="006F591A" w:rsidP="006F591A">
      <w:r>
        <w:t xml:space="preserve">- </w:t>
      </w:r>
      <w:proofErr w:type="spellStart"/>
      <w:r>
        <w:t>amphothéricine</w:t>
      </w:r>
      <w:proofErr w:type="spellEnd"/>
      <w:r>
        <w:t xml:space="preserve"> B</w:t>
      </w:r>
    </w:p>
    <w:p w:rsidR="006F591A" w:rsidRDefault="006F591A" w:rsidP="006F591A">
      <w:r>
        <w:t xml:space="preserve">- </w:t>
      </w:r>
      <w:proofErr w:type="spellStart"/>
      <w:r>
        <w:t>caspofungine</w:t>
      </w:r>
      <w:proofErr w:type="spellEnd"/>
    </w:p>
    <w:p w:rsidR="006F591A" w:rsidRDefault="006F591A" w:rsidP="006F591A">
      <w:r>
        <w:t xml:space="preserve">- </w:t>
      </w:r>
      <w:proofErr w:type="spellStart"/>
      <w:r>
        <w:t>fluconazole</w:t>
      </w:r>
      <w:proofErr w:type="spellEnd"/>
    </w:p>
    <w:p w:rsidR="006F591A" w:rsidRDefault="006F591A" w:rsidP="006F591A">
      <w:r>
        <w:t xml:space="preserve">- </w:t>
      </w:r>
      <w:proofErr w:type="spellStart"/>
      <w:r>
        <w:t>flucytosine</w:t>
      </w:r>
      <w:proofErr w:type="spellEnd"/>
    </w:p>
    <w:p w:rsidR="006F591A" w:rsidRDefault="006F591A" w:rsidP="006F591A">
      <w:r>
        <w:t>- griséofulvine</w:t>
      </w:r>
    </w:p>
    <w:p w:rsidR="006F591A" w:rsidRDefault="006F591A"/>
    <w:p w:rsidR="00EE1805" w:rsidRDefault="00EE1805">
      <w:r>
        <w:t>QCM</w:t>
      </w:r>
    </w:p>
    <w:p w:rsidR="00EE1805" w:rsidRDefault="00EE1805">
      <w:r>
        <w:t>Parmi les champignons suivants lesquels ont pour cible principale la sphère pulmonaire?</w:t>
      </w:r>
    </w:p>
    <w:p w:rsidR="00EE1805" w:rsidRPr="00EE1805" w:rsidRDefault="00EE1805">
      <w:pPr>
        <w:rPr>
          <w:i/>
        </w:rPr>
      </w:pPr>
      <w:r w:rsidRPr="00EE1805">
        <w:rPr>
          <w:i/>
        </w:rPr>
        <w:t xml:space="preserve">- Candida </w:t>
      </w:r>
      <w:proofErr w:type="spellStart"/>
      <w:r w:rsidRPr="00EE1805">
        <w:rPr>
          <w:i/>
        </w:rPr>
        <w:t>albicans</w:t>
      </w:r>
      <w:proofErr w:type="spellEnd"/>
    </w:p>
    <w:p w:rsidR="00EE1805" w:rsidRPr="00EE1805" w:rsidRDefault="00EE1805">
      <w:pPr>
        <w:rPr>
          <w:i/>
        </w:rPr>
      </w:pPr>
      <w:r w:rsidRPr="00EE1805">
        <w:rPr>
          <w:i/>
        </w:rPr>
        <w:t xml:space="preserve">- </w:t>
      </w:r>
      <w:proofErr w:type="spellStart"/>
      <w:r w:rsidRPr="00EE1805">
        <w:rPr>
          <w:i/>
        </w:rPr>
        <w:t>Cryptococcus</w:t>
      </w:r>
      <w:proofErr w:type="spellEnd"/>
      <w:r w:rsidRPr="00EE1805">
        <w:rPr>
          <w:i/>
        </w:rPr>
        <w:t xml:space="preserve"> </w:t>
      </w:r>
      <w:proofErr w:type="spellStart"/>
      <w:r w:rsidRPr="00EE1805">
        <w:rPr>
          <w:i/>
        </w:rPr>
        <w:t>neoformans</w:t>
      </w:r>
      <w:proofErr w:type="spellEnd"/>
      <w:r w:rsidRPr="00EE1805">
        <w:rPr>
          <w:i/>
        </w:rPr>
        <w:t xml:space="preserve"> </w:t>
      </w:r>
    </w:p>
    <w:p w:rsidR="00EE1805" w:rsidRPr="00EE1805" w:rsidRDefault="00EE1805">
      <w:pPr>
        <w:rPr>
          <w:i/>
        </w:rPr>
      </w:pPr>
      <w:r w:rsidRPr="00EE1805">
        <w:rPr>
          <w:i/>
        </w:rPr>
        <w:t xml:space="preserve">- </w:t>
      </w:r>
      <w:proofErr w:type="spellStart"/>
      <w:r w:rsidRPr="00EE1805">
        <w:rPr>
          <w:i/>
        </w:rPr>
        <w:t>Microsporum</w:t>
      </w:r>
      <w:proofErr w:type="spellEnd"/>
      <w:r w:rsidRPr="00EE1805">
        <w:rPr>
          <w:i/>
        </w:rPr>
        <w:t xml:space="preserve"> </w:t>
      </w:r>
      <w:proofErr w:type="spellStart"/>
      <w:r w:rsidRPr="00EE1805">
        <w:rPr>
          <w:i/>
        </w:rPr>
        <w:t>canis</w:t>
      </w:r>
      <w:proofErr w:type="spellEnd"/>
    </w:p>
    <w:p w:rsidR="00EE1805" w:rsidRDefault="00EE1805">
      <w:pPr>
        <w:rPr>
          <w:i/>
        </w:rPr>
      </w:pPr>
      <w:r w:rsidRPr="00EE1805">
        <w:rPr>
          <w:i/>
        </w:rPr>
        <w:t xml:space="preserve">- </w:t>
      </w:r>
      <w:proofErr w:type="spellStart"/>
      <w:r w:rsidRPr="00EE1805">
        <w:rPr>
          <w:i/>
        </w:rPr>
        <w:t>Pneumocystis</w:t>
      </w:r>
      <w:proofErr w:type="spellEnd"/>
      <w:r w:rsidRPr="00EE1805">
        <w:rPr>
          <w:i/>
        </w:rPr>
        <w:t xml:space="preserve"> </w:t>
      </w:r>
      <w:proofErr w:type="spellStart"/>
      <w:r w:rsidRPr="00EE1805">
        <w:rPr>
          <w:i/>
        </w:rPr>
        <w:t>jiroveci</w:t>
      </w:r>
      <w:proofErr w:type="spellEnd"/>
    </w:p>
    <w:p w:rsidR="00A2636B" w:rsidRDefault="00A2636B">
      <w:pPr>
        <w:rPr>
          <w:i/>
        </w:rPr>
      </w:pPr>
      <w:r>
        <w:rPr>
          <w:i/>
        </w:rPr>
        <w:t xml:space="preserve">- Trichophyton </w:t>
      </w:r>
      <w:proofErr w:type="spellStart"/>
      <w:r>
        <w:rPr>
          <w:i/>
        </w:rPr>
        <w:t>rubrum</w:t>
      </w:r>
      <w:proofErr w:type="spellEnd"/>
    </w:p>
    <w:p w:rsidR="00EE1805" w:rsidRDefault="00EE1805"/>
    <w:p w:rsidR="006F591A" w:rsidRDefault="006F591A">
      <w:r>
        <w:t xml:space="preserve">Parmi les antifongiques systémiques suivants, lesquels </w:t>
      </w:r>
      <w:r w:rsidR="0052016E">
        <w:t>peuvent être employés en seconde intention dans le traitement d'une aspergillose</w:t>
      </w:r>
      <w:r w:rsidR="00B64532">
        <w:t xml:space="preserve"> invasive</w:t>
      </w:r>
      <w:r>
        <w:t>?</w:t>
      </w:r>
    </w:p>
    <w:p w:rsidR="006F591A" w:rsidRDefault="00EE1805">
      <w:r>
        <w:t xml:space="preserve">- </w:t>
      </w:r>
      <w:proofErr w:type="spellStart"/>
      <w:r>
        <w:t>amphothéricine</w:t>
      </w:r>
      <w:proofErr w:type="spellEnd"/>
      <w:r>
        <w:t xml:space="preserve"> B</w:t>
      </w:r>
    </w:p>
    <w:p w:rsidR="00EE1805" w:rsidRDefault="00EE1805">
      <w:r>
        <w:t xml:space="preserve">- </w:t>
      </w:r>
      <w:proofErr w:type="spellStart"/>
      <w:r w:rsidR="0052016E">
        <w:t>caspofungin</w:t>
      </w:r>
      <w:r>
        <w:t>e</w:t>
      </w:r>
      <w:proofErr w:type="spellEnd"/>
    </w:p>
    <w:p w:rsidR="00EE1805" w:rsidRDefault="00EE1805">
      <w:r>
        <w:t xml:space="preserve">- </w:t>
      </w:r>
      <w:proofErr w:type="spellStart"/>
      <w:r>
        <w:t>griseofulvine</w:t>
      </w:r>
      <w:proofErr w:type="spellEnd"/>
    </w:p>
    <w:p w:rsidR="00EE1805" w:rsidRDefault="006E4032">
      <w:r>
        <w:t xml:space="preserve">- </w:t>
      </w:r>
      <w:proofErr w:type="spellStart"/>
      <w:r>
        <w:t>fluc</w:t>
      </w:r>
      <w:r w:rsidR="00EE1805">
        <w:t>oconazole</w:t>
      </w:r>
      <w:proofErr w:type="spellEnd"/>
    </w:p>
    <w:p w:rsidR="00EE1805" w:rsidRDefault="00EE1805">
      <w:r>
        <w:t xml:space="preserve">- </w:t>
      </w:r>
      <w:proofErr w:type="spellStart"/>
      <w:r w:rsidR="006E4032">
        <w:t>p</w:t>
      </w:r>
      <w:r w:rsidR="00A2636B">
        <w:t>osaconazole</w:t>
      </w:r>
      <w:proofErr w:type="spellEnd"/>
    </w:p>
    <w:p w:rsidR="00EE1805" w:rsidRDefault="00EE1805"/>
    <w:p w:rsidR="00EE1805" w:rsidRDefault="00EE1805">
      <w:r>
        <w:t xml:space="preserve">Parmi les situations pathologiques suivantes, </w:t>
      </w:r>
      <w:r w:rsidR="00224C47">
        <w:t>les</w:t>
      </w:r>
      <w:r>
        <w:t>quelle</w:t>
      </w:r>
      <w:r w:rsidR="00224C47">
        <w:t>s</w:t>
      </w:r>
      <w:r>
        <w:t xml:space="preserve"> </w:t>
      </w:r>
      <w:r w:rsidR="00224C47">
        <w:t>sont à considérer comme pouvant favoriser</w:t>
      </w:r>
      <w:r>
        <w:t xml:space="preserve"> une</w:t>
      </w:r>
      <w:r w:rsidR="00224C47">
        <w:t xml:space="preserve"> </w:t>
      </w:r>
      <w:r w:rsidR="005916D7">
        <w:t>pneumocystose</w:t>
      </w:r>
      <w:r w:rsidR="00224C47">
        <w:t>?</w:t>
      </w:r>
    </w:p>
    <w:p w:rsidR="00224C47" w:rsidRDefault="00224C47">
      <w:r>
        <w:t xml:space="preserve">- </w:t>
      </w:r>
      <w:r w:rsidR="005916D7">
        <w:t>asthme</w:t>
      </w:r>
    </w:p>
    <w:p w:rsidR="005916D7" w:rsidRDefault="005916D7">
      <w:r>
        <w:t>- bronch</w:t>
      </w:r>
      <w:r w:rsidR="006E4032">
        <w:t>o</w:t>
      </w:r>
      <w:r>
        <w:t xml:space="preserve">pneumopathie chronique obstructive </w:t>
      </w:r>
    </w:p>
    <w:p w:rsidR="00224C47" w:rsidRDefault="005916D7">
      <w:r>
        <w:t>- diabète</w:t>
      </w:r>
    </w:p>
    <w:p w:rsidR="000D3BFF" w:rsidRDefault="00224C47">
      <w:r>
        <w:t>- séropositivité VIH</w:t>
      </w:r>
    </w:p>
    <w:p w:rsidR="000D3BFF" w:rsidRDefault="000D3BFF">
      <w:r>
        <w:t>- traitement immunosuppresseur</w:t>
      </w:r>
    </w:p>
    <w:p w:rsidR="000D3BFF" w:rsidRDefault="000D3BFF">
      <w:r>
        <w:br w:type="page"/>
      </w:r>
    </w:p>
    <w:p w:rsidR="00B31168" w:rsidRPr="00474355" w:rsidRDefault="00B31168" w:rsidP="00B31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Histoire clinique</w:t>
      </w:r>
    </w:p>
    <w:p w:rsidR="00B31168" w:rsidRDefault="00B31168" w:rsidP="00B31168"/>
    <w:p w:rsidR="00B31168" w:rsidRDefault="00B31168" w:rsidP="00B31168">
      <w:r>
        <w:t>Histoire</w:t>
      </w:r>
    </w:p>
    <w:p w:rsidR="00B31168" w:rsidRDefault="00B31168" w:rsidP="00B31168">
      <w:r>
        <w:t xml:space="preserve">Il s’agit d’un homme de 43 ans, d’origine asiatique, pesant 47kg, hypertendu, ayant bénéficié d’une transplantation rénale 10 ans auparavant. Son traitement quotidien comprend 360 mg de </w:t>
      </w:r>
      <w:proofErr w:type="spellStart"/>
      <w:r>
        <w:t>mycophénolate</w:t>
      </w:r>
      <w:proofErr w:type="spellEnd"/>
      <w:r>
        <w:t xml:space="preserve">, 2mg de </w:t>
      </w:r>
      <w:proofErr w:type="spellStart"/>
      <w:r>
        <w:t>tacrolimus</w:t>
      </w:r>
      <w:proofErr w:type="spellEnd"/>
      <w:r>
        <w:t xml:space="preserve"> et 4 mg de </w:t>
      </w:r>
      <w:proofErr w:type="spellStart"/>
      <w:r>
        <w:t>méthylprednisolone</w:t>
      </w:r>
      <w:proofErr w:type="spellEnd"/>
      <w:r>
        <w:t xml:space="preserve">. </w:t>
      </w:r>
    </w:p>
    <w:p w:rsidR="00B31168" w:rsidRDefault="00B31168" w:rsidP="00B31168">
      <w:r>
        <w:t>Au cours des deux années précédentes, le patient a été hospitalisé à quatre reprises en raison d’une méningite récurrente attribuée à un défaut d’observance (arrêt du traitement avant la fin prescrite).</w:t>
      </w:r>
    </w:p>
    <w:p w:rsidR="00B31168" w:rsidRDefault="00B31168" w:rsidP="00B31168">
      <w:r>
        <w:t>Il consulte à nouveau pour des nausées, vomissements, fièvre et raideur de la nuque mais les signes vitaux sont normaux. Le résultat de l’hémogramme réalisé à l’admission est présenté dans le tableau ci-dessous :</w:t>
      </w:r>
    </w:p>
    <w:p w:rsidR="00B31168" w:rsidRDefault="00B31168" w:rsidP="00B31168"/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701"/>
      </w:tblGrid>
      <w:tr w:rsidR="00B31168" w:rsidTr="000A0934">
        <w:trPr>
          <w:jc w:val="center"/>
        </w:trPr>
        <w:tc>
          <w:tcPr>
            <w:tcW w:w="3085" w:type="dxa"/>
          </w:tcPr>
          <w:p w:rsidR="00B31168" w:rsidRDefault="00B31168" w:rsidP="000A0934">
            <w:r>
              <w:t>Hémoglobine</w:t>
            </w:r>
          </w:p>
        </w:tc>
        <w:tc>
          <w:tcPr>
            <w:tcW w:w="1701" w:type="dxa"/>
          </w:tcPr>
          <w:p w:rsidR="00B31168" w:rsidRDefault="00B31168" w:rsidP="000A0934">
            <w:r>
              <w:t>11,7 g/</w:t>
            </w:r>
            <w:proofErr w:type="spellStart"/>
            <w:proofErr w:type="gramStart"/>
            <w:r>
              <w:t>dL</w:t>
            </w:r>
            <w:proofErr w:type="spellEnd"/>
            <w:proofErr w:type="gramEnd"/>
          </w:p>
        </w:tc>
      </w:tr>
      <w:tr w:rsidR="00B31168" w:rsidTr="000A0934">
        <w:trPr>
          <w:jc w:val="center"/>
        </w:trPr>
        <w:tc>
          <w:tcPr>
            <w:tcW w:w="3085" w:type="dxa"/>
          </w:tcPr>
          <w:p w:rsidR="00B31168" w:rsidRDefault="00B31168" w:rsidP="000A0934">
            <w:r>
              <w:t>Leucocytes</w:t>
            </w:r>
          </w:p>
          <w:p w:rsidR="00B31168" w:rsidRDefault="00B31168" w:rsidP="000A0934">
            <w:r>
              <w:t xml:space="preserve">     neutrophiles</w:t>
            </w:r>
          </w:p>
          <w:p w:rsidR="00B31168" w:rsidRDefault="00B31168" w:rsidP="000A0934">
            <w:r>
              <w:t xml:space="preserve">     monocytes</w:t>
            </w:r>
          </w:p>
          <w:p w:rsidR="00B31168" w:rsidRDefault="00B31168" w:rsidP="000A0934">
            <w:r>
              <w:t xml:space="preserve">     lymphocytes</w:t>
            </w:r>
          </w:p>
        </w:tc>
        <w:tc>
          <w:tcPr>
            <w:tcW w:w="1701" w:type="dxa"/>
          </w:tcPr>
          <w:p w:rsidR="00B31168" w:rsidRDefault="00B31168" w:rsidP="000A0934">
            <w:r>
              <w:t>8,7 x10</w:t>
            </w:r>
            <w:r w:rsidRPr="00715774">
              <w:rPr>
                <w:vertAlign w:val="superscript"/>
              </w:rPr>
              <w:t>9</w:t>
            </w:r>
            <w:r>
              <w:t xml:space="preserve"> /L</w:t>
            </w:r>
          </w:p>
          <w:p w:rsidR="00B31168" w:rsidRDefault="00B31168" w:rsidP="000A0934">
            <w:r>
              <w:t xml:space="preserve">           91%</w:t>
            </w:r>
          </w:p>
          <w:p w:rsidR="00B31168" w:rsidRDefault="00B31168" w:rsidP="000A0934">
            <w:r>
              <w:t xml:space="preserve">             3%</w:t>
            </w:r>
          </w:p>
          <w:p w:rsidR="00B31168" w:rsidRDefault="00B31168" w:rsidP="000A0934">
            <w:r>
              <w:t xml:space="preserve">             3,2%</w:t>
            </w:r>
          </w:p>
        </w:tc>
      </w:tr>
      <w:tr w:rsidR="00B31168" w:rsidTr="000A0934">
        <w:trPr>
          <w:jc w:val="center"/>
        </w:trPr>
        <w:tc>
          <w:tcPr>
            <w:tcW w:w="3085" w:type="dxa"/>
          </w:tcPr>
          <w:p w:rsidR="00B31168" w:rsidRDefault="00B31168" w:rsidP="000A0934">
            <w:r>
              <w:t>Urée</w:t>
            </w:r>
          </w:p>
        </w:tc>
        <w:tc>
          <w:tcPr>
            <w:tcW w:w="1701" w:type="dxa"/>
          </w:tcPr>
          <w:p w:rsidR="00B31168" w:rsidRDefault="00B31168" w:rsidP="000A0934">
            <w:r>
              <w:t>31 mg/</w:t>
            </w:r>
            <w:proofErr w:type="spellStart"/>
            <w:proofErr w:type="gramStart"/>
            <w:r>
              <w:t>dL</w:t>
            </w:r>
            <w:proofErr w:type="spellEnd"/>
            <w:proofErr w:type="gramEnd"/>
          </w:p>
        </w:tc>
      </w:tr>
      <w:tr w:rsidR="00B31168" w:rsidTr="000A0934">
        <w:trPr>
          <w:jc w:val="center"/>
        </w:trPr>
        <w:tc>
          <w:tcPr>
            <w:tcW w:w="3085" w:type="dxa"/>
          </w:tcPr>
          <w:p w:rsidR="00B31168" w:rsidRDefault="00B31168" w:rsidP="000A0934">
            <w:r>
              <w:t>Créatinine</w:t>
            </w:r>
          </w:p>
        </w:tc>
        <w:tc>
          <w:tcPr>
            <w:tcW w:w="1701" w:type="dxa"/>
          </w:tcPr>
          <w:p w:rsidR="00B31168" w:rsidRDefault="00B31168" w:rsidP="000A0934">
            <w:r>
              <w:t>2,1 mg/</w:t>
            </w:r>
            <w:proofErr w:type="spellStart"/>
            <w:proofErr w:type="gramStart"/>
            <w:r>
              <w:t>dL</w:t>
            </w:r>
            <w:proofErr w:type="spellEnd"/>
            <w:proofErr w:type="gramEnd"/>
          </w:p>
        </w:tc>
      </w:tr>
      <w:tr w:rsidR="00B31168" w:rsidTr="000A0934">
        <w:trPr>
          <w:jc w:val="center"/>
        </w:trPr>
        <w:tc>
          <w:tcPr>
            <w:tcW w:w="3085" w:type="dxa"/>
          </w:tcPr>
          <w:p w:rsidR="00B31168" w:rsidRDefault="00B31168" w:rsidP="000A0934">
            <w:proofErr w:type="spellStart"/>
            <w:r>
              <w:t>Aspartate</w:t>
            </w:r>
            <w:proofErr w:type="spellEnd"/>
            <w:r>
              <w:t>-</w:t>
            </w:r>
            <w:proofErr w:type="spellStart"/>
            <w:r>
              <w:t>amino</w:t>
            </w:r>
            <w:proofErr w:type="spellEnd"/>
            <w:r>
              <w:t>-transférase</w:t>
            </w:r>
          </w:p>
        </w:tc>
        <w:tc>
          <w:tcPr>
            <w:tcW w:w="1701" w:type="dxa"/>
          </w:tcPr>
          <w:p w:rsidR="00B31168" w:rsidRDefault="00B31168" w:rsidP="000A0934">
            <w:r>
              <w:t>21 U/L</w:t>
            </w:r>
          </w:p>
        </w:tc>
      </w:tr>
      <w:tr w:rsidR="00B31168" w:rsidTr="000A0934">
        <w:trPr>
          <w:jc w:val="center"/>
        </w:trPr>
        <w:tc>
          <w:tcPr>
            <w:tcW w:w="3085" w:type="dxa"/>
          </w:tcPr>
          <w:p w:rsidR="00B31168" w:rsidRDefault="00B31168" w:rsidP="000A0934">
            <w:r>
              <w:t>Alanine-</w:t>
            </w:r>
            <w:proofErr w:type="spellStart"/>
            <w:r>
              <w:t>amino</w:t>
            </w:r>
            <w:proofErr w:type="spellEnd"/>
            <w:r>
              <w:t>-transférase</w:t>
            </w:r>
          </w:p>
        </w:tc>
        <w:tc>
          <w:tcPr>
            <w:tcW w:w="1701" w:type="dxa"/>
          </w:tcPr>
          <w:p w:rsidR="00B31168" w:rsidRDefault="00B31168" w:rsidP="000A0934">
            <w:r>
              <w:t>19 U/L</w:t>
            </w:r>
          </w:p>
        </w:tc>
      </w:tr>
      <w:tr w:rsidR="00B31168" w:rsidTr="000A0934">
        <w:trPr>
          <w:jc w:val="center"/>
        </w:trPr>
        <w:tc>
          <w:tcPr>
            <w:tcW w:w="3085" w:type="dxa"/>
          </w:tcPr>
          <w:p w:rsidR="00B31168" w:rsidRDefault="00B31168" w:rsidP="000A0934">
            <w:r>
              <w:t>Sodium</w:t>
            </w:r>
          </w:p>
        </w:tc>
        <w:tc>
          <w:tcPr>
            <w:tcW w:w="1701" w:type="dxa"/>
          </w:tcPr>
          <w:p w:rsidR="00B31168" w:rsidRDefault="00B31168" w:rsidP="000A0934">
            <w:r>
              <w:t xml:space="preserve">132 </w:t>
            </w:r>
            <w:proofErr w:type="spellStart"/>
            <w:r>
              <w:t>mmol</w:t>
            </w:r>
            <w:proofErr w:type="spellEnd"/>
            <w:r>
              <w:t>/</w:t>
            </w:r>
            <w:proofErr w:type="gramStart"/>
            <w:r>
              <w:t>L</w:t>
            </w:r>
            <w:proofErr w:type="gramEnd"/>
          </w:p>
        </w:tc>
      </w:tr>
      <w:tr w:rsidR="00B31168" w:rsidTr="000A0934">
        <w:trPr>
          <w:jc w:val="center"/>
        </w:trPr>
        <w:tc>
          <w:tcPr>
            <w:tcW w:w="3085" w:type="dxa"/>
          </w:tcPr>
          <w:p w:rsidR="00B31168" w:rsidRDefault="00B31168" w:rsidP="000A0934">
            <w:r>
              <w:t>Potassium</w:t>
            </w:r>
          </w:p>
        </w:tc>
        <w:tc>
          <w:tcPr>
            <w:tcW w:w="1701" w:type="dxa"/>
          </w:tcPr>
          <w:p w:rsidR="00B31168" w:rsidRDefault="00B31168" w:rsidP="000A0934">
            <w:r>
              <w:t xml:space="preserve">4,9 </w:t>
            </w:r>
            <w:proofErr w:type="spellStart"/>
            <w:r>
              <w:t>mmol</w:t>
            </w:r>
            <w:proofErr w:type="spellEnd"/>
            <w:r>
              <w:t>/</w:t>
            </w:r>
            <w:proofErr w:type="gramStart"/>
            <w:r>
              <w:t>L</w:t>
            </w:r>
            <w:proofErr w:type="gramEnd"/>
          </w:p>
        </w:tc>
      </w:tr>
    </w:tbl>
    <w:p w:rsidR="00B31168" w:rsidRDefault="00B31168" w:rsidP="00B31168"/>
    <w:p w:rsidR="00B31168" w:rsidRDefault="00B31168" w:rsidP="00B31168">
      <w:r>
        <w:t xml:space="preserve">Des examens et analyses complémentaires conduisent à la mise en place d’un premier traitement par du </w:t>
      </w:r>
      <w:proofErr w:type="spellStart"/>
      <w:r>
        <w:t>fluconazole</w:t>
      </w:r>
      <w:proofErr w:type="spellEnd"/>
      <w:r>
        <w:t xml:space="preserve"> (200mg/j) remplacé rapidement par de l’</w:t>
      </w:r>
      <w:proofErr w:type="spellStart"/>
      <w:r>
        <w:t>amphothéricine</w:t>
      </w:r>
      <w:proofErr w:type="spellEnd"/>
      <w:r>
        <w:t xml:space="preserve"> B </w:t>
      </w:r>
      <w:proofErr w:type="spellStart"/>
      <w:r>
        <w:t>liposomale</w:t>
      </w:r>
      <w:proofErr w:type="spellEnd"/>
      <w:r>
        <w:t xml:space="preserve"> (4mg/kg/j. Au 25</w:t>
      </w:r>
      <w:r w:rsidRPr="005316DF">
        <w:rPr>
          <w:vertAlign w:val="superscript"/>
        </w:rPr>
        <w:t>ème</w:t>
      </w:r>
      <w:r>
        <w:t xml:space="preserve"> jour d’hospitalisation, suite à un nouvel échec thérapeutique, un traitement par le </w:t>
      </w:r>
      <w:proofErr w:type="spellStart"/>
      <w:r>
        <w:t>voriconazole</w:t>
      </w:r>
      <w:proofErr w:type="spellEnd"/>
      <w:r>
        <w:t xml:space="preserve"> (800mg/j par voie orale) est mis en place.</w:t>
      </w:r>
    </w:p>
    <w:p w:rsidR="00B31168" w:rsidRDefault="00B31168" w:rsidP="00B31168">
      <w:r>
        <w:t>Au bout de 6 jours de ce traitement, alors que les cultures de liquide céphalorachidien se révèlent négatives, le patient souffre  à nouveau de nausées et de vomissements.</w:t>
      </w:r>
    </w:p>
    <w:p w:rsidR="00B31168" w:rsidRDefault="00B31168" w:rsidP="00B31168"/>
    <w:p w:rsidR="00B31168" w:rsidRDefault="00B31168" w:rsidP="00B31168">
      <w:r>
        <w:t>Questions</w:t>
      </w:r>
    </w:p>
    <w:p w:rsidR="00B31168" w:rsidRDefault="00B31168" w:rsidP="00B31168">
      <w:r>
        <w:t>1) Relever dans l’histoire du patient les éléments cohérents avec une atteinte fongique et les commenter.</w:t>
      </w:r>
    </w:p>
    <w:p w:rsidR="00B31168" w:rsidRDefault="00B31168" w:rsidP="00B31168">
      <w:r>
        <w:t>2) Quel organisme fongique peut être suspecté dans la pathologie récidivante des deux années passées ?</w:t>
      </w:r>
    </w:p>
    <w:p w:rsidR="00B31168" w:rsidRDefault="00B31168" w:rsidP="00B31168">
      <w:r>
        <w:t>3) Quel est l’habitat naturel de ce pathogène et la voie de contamination la plus probable ?</w:t>
      </w:r>
    </w:p>
    <w:p w:rsidR="00B31168" w:rsidRDefault="00B31168" w:rsidP="00B31168">
      <w:r>
        <w:t>4) Commenter rapidement l’hémogramme.</w:t>
      </w:r>
    </w:p>
    <w:p w:rsidR="00B31168" w:rsidRDefault="00B31168" w:rsidP="00B31168">
      <w:r>
        <w:t>5) Quels sont les examens et analyses complémentaires qui ont réalisés en vue d’identifier le pathogène ? Préciser les techniques employées et les résultats attendus.</w:t>
      </w:r>
    </w:p>
    <w:p w:rsidR="00B31168" w:rsidRDefault="00B31168" w:rsidP="00B31168">
      <w:r>
        <w:t>6) Expliquer la séquence des traitements successifs et l’origine de l’échec thérapeutique des deux premiers traitements de la pathologie actuelle?</w:t>
      </w:r>
    </w:p>
    <w:p w:rsidR="00B31168" w:rsidRDefault="00B31168" w:rsidP="00B31168">
      <w:r>
        <w:t>7) Quelle est la cause des nausées et vomissements apparus suite au troisième traitement ? Quel suivi est nécessaire lors de la mise en place de ce traitement? Justifier la réponse.</w:t>
      </w:r>
    </w:p>
    <w:p w:rsidR="00F33EEB" w:rsidRDefault="00F33EEB" w:rsidP="00F33EEB"/>
    <w:p w:rsidR="00B21DE1" w:rsidRDefault="00B21DE1">
      <w:r>
        <w:br w:type="page"/>
      </w:r>
    </w:p>
    <w:p w:rsidR="00665E9E" w:rsidRDefault="00667D7B">
      <w:r>
        <w:lastRenderedPageBreak/>
        <w:t>Histoire clinique: r</w:t>
      </w:r>
      <w:r w:rsidR="00665E9E">
        <w:t>éponses attendues</w:t>
      </w:r>
    </w:p>
    <w:p w:rsidR="005316DF" w:rsidRDefault="005316DF"/>
    <w:p w:rsidR="00665E9E" w:rsidRPr="008F0839" w:rsidRDefault="00665E9E" w:rsidP="00665E9E">
      <w:pPr>
        <w:rPr>
          <w:b/>
        </w:rPr>
      </w:pPr>
      <w:r w:rsidRPr="008F0839">
        <w:rPr>
          <w:b/>
        </w:rPr>
        <w:t xml:space="preserve">1) Relever </w:t>
      </w:r>
      <w:r w:rsidR="005717E4">
        <w:rPr>
          <w:b/>
        </w:rPr>
        <w:t xml:space="preserve">dans l’histoire du patient </w:t>
      </w:r>
      <w:r w:rsidRPr="008F0839">
        <w:rPr>
          <w:b/>
        </w:rPr>
        <w:t>les éléments cohérents avec une atteinte</w:t>
      </w:r>
      <w:r w:rsidR="005316DF">
        <w:rPr>
          <w:b/>
        </w:rPr>
        <w:t xml:space="preserve"> opportuniste</w:t>
      </w:r>
      <w:r w:rsidRPr="008F0839">
        <w:rPr>
          <w:b/>
        </w:rPr>
        <w:t xml:space="preserve"> fongique</w:t>
      </w:r>
      <w:r w:rsidR="00B1131A">
        <w:rPr>
          <w:b/>
        </w:rPr>
        <w:t xml:space="preserve"> </w:t>
      </w:r>
      <w:r w:rsidR="005717E4">
        <w:rPr>
          <w:b/>
        </w:rPr>
        <w:t xml:space="preserve">et les commenter </w:t>
      </w:r>
      <w:r w:rsidR="00B1131A">
        <w:rPr>
          <w:b/>
        </w:rPr>
        <w:t xml:space="preserve">(sur </w:t>
      </w:r>
      <w:r w:rsidR="00157F06">
        <w:rPr>
          <w:b/>
        </w:rPr>
        <w:t>18</w:t>
      </w:r>
      <w:r w:rsidR="00B1131A">
        <w:rPr>
          <w:b/>
        </w:rPr>
        <w:t>)</w:t>
      </w:r>
    </w:p>
    <w:p w:rsidR="005C2FBA" w:rsidRDefault="005316DF" w:rsidP="00665E9E">
      <w:r>
        <w:t>- antécédents de transplantation rénale</w:t>
      </w:r>
      <w:r w:rsidR="005C2FBA">
        <w:t xml:space="preserve"> (2)</w:t>
      </w:r>
      <w:r w:rsidR="00667D7B">
        <w:t xml:space="preserve"> </w:t>
      </w:r>
      <w:r w:rsidR="005C2FBA">
        <w:t>avec traitement associé</w:t>
      </w:r>
      <w:r w:rsidR="00157F06">
        <w:t xml:space="preserve"> (2</w:t>
      </w:r>
      <w:r w:rsidR="005C2FBA">
        <w:t xml:space="preserve">) </w:t>
      </w:r>
    </w:p>
    <w:p w:rsidR="005C2FBA" w:rsidRDefault="005C2FBA" w:rsidP="00665E9E">
      <w:r>
        <w:tab/>
      </w:r>
      <w:proofErr w:type="spellStart"/>
      <w:proofErr w:type="gramStart"/>
      <w:r>
        <w:t>tacrolimus</w:t>
      </w:r>
      <w:proofErr w:type="spellEnd"/>
      <w:proofErr w:type="gramEnd"/>
      <w:r>
        <w:t xml:space="preserve"> </w:t>
      </w:r>
      <w:r w:rsidR="00B1131A">
        <w:t xml:space="preserve">et </w:t>
      </w:r>
      <w:proofErr w:type="spellStart"/>
      <w:r>
        <w:t>mycophénolate</w:t>
      </w:r>
      <w:proofErr w:type="spellEnd"/>
      <w:r>
        <w:t> : immunosuppresseurs puissants en prévision d’un rejet de greffe (</w:t>
      </w:r>
      <w:r w:rsidR="00157F06">
        <w:t>1</w:t>
      </w:r>
      <w:r>
        <w:t>)</w:t>
      </w:r>
    </w:p>
    <w:p w:rsidR="005C2FBA" w:rsidRDefault="005C2FBA" w:rsidP="00665E9E">
      <w:r>
        <w:tab/>
      </w:r>
      <w:r>
        <w:tab/>
      </w:r>
      <w:proofErr w:type="spellStart"/>
      <w:proofErr w:type="gramStart"/>
      <w:r w:rsidR="00B1131A">
        <w:t>tacrolimus</w:t>
      </w:r>
      <w:proofErr w:type="spellEnd"/>
      <w:proofErr w:type="gramEnd"/>
      <w:r w:rsidR="00B1131A">
        <w:t xml:space="preserve"> : </w:t>
      </w:r>
      <w:r>
        <w:t xml:space="preserve">par suppression de l’activation des lymphocytes T et de </w:t>
      </w:r>
      <w:r w:rsidR="00157F06">
        <w:t>la production des lymphokines (1</w:t>
      </w:r>
      <w:r>
        <w:t xml:space="preserve">) suite à liaison avec la </w:t>
      </w:r>
      <w:proofErr w:type="spellStart"/>
      <w:r>
        <w:t>calcineurine</w:t>
      </w:r>
      <w:proofErr w:type="spellEnd"/>
      <w:r>
        <w:t xml:space="preserve"> (1)</w:t>
      </w:r>
    </w:p>
    <w:p w:rsidR="00B1131A" w:rsidRDefault="00B1131A" w:rsidP="00665E9E">
      <w:r>
        <w:tab/>
      </w:r>
      <w:r>
        <w:tab/>
      </w:r>
      <w:proofErr w:type="spellStart"/>
      <w:r>
        <w:t>mycophénolate</w:t>
      </w:r>
      <w:proofErr w:type="spellEnd"/>
      <w:r>
        <w:t> : par effet cytostatique suite à l’inhibition de la sy</w:t>
      </w:r>
      <w:r w:rsidR="00157F06">
        <w:t>nthèse nucléotidique (guanine) (1</w:t>
      </w:r>
      <w:r>
        <w:t>) en raison d’une inhibition sélective, non compétitive et réversible de l’</w:t>
      </w:r>
      <w:proofErr w:type="spellStart"/>
      <w:r>
        <w:t>inosine</w:t>
      </w:r>
      <w:proofErr w:type="spellEnd"/>
      <w:r>
        <w:t xml:space="preserve"> </w:t>
      </w:r>
      <w:proofErr w:type="spellStart"/>
      <w:r>
        <w:t>monophosphate</w:t>
      </w:r>
      <w:proofErr w:type="spellEnd"/>
      <w:r>
        <w:t xml:space="preserve"> </w:t>
      </w:r>
      <w:proofErr w:type="spellStart"/>
      <w:r>
        <w:t>deshydrogéase</w:t>
      </w:r>
      <w:proofErr w:type="spellEnd"/>
      <w:r>
        <w:t xml:space="preserve"> (1)</w:t>
      </w:r>
    </w:p>
    <w:p w:rsidR="005C2FBA" w:rsidRDefault="005C2FBA" w:rsidP="00665E9E">
      <w:r>
        <w:tab/>
      </w:r>
      <w:proofErr w:type="spellStart"/>
      <w:proofErr w:type="gramStart"/>
      <w:r>
        <w:t>méthylprednisolone</w:t>
      </w:r>
      <w:proofErr w:type="spellEnd"/>
      <w:proofErr w:type="gramEnd"/>
      <w:r>
        <w:t> : corticoïdes</w:t>
      </w:r>
      <w:r w:rsidR="00BB4F22">
        <w:t xml:space="preserve"> (1</w:t>
      </w:r>
      <w:r>
        <w:t>)</w:t>
      </w:r>
      <w:r w:rsidR="00B1131A">
        <w:t xml:space="preserve"> a visée anti-inflammatoire (1) mais aussi diminution de la réponse i</w:t>
      </w:r>
      <w:r w:rsidR="00BB4F22">
        <w:t>mmunitaire à forte dose (1</w:t>
      </w:r>
      <w:r w:rsidR="00B1131A">
        <w:t>)</w:t>
      </w:r>
    </w:p>
    <w:p w:rsidR="00BB4F22" w:rsidRDefault="00157F06" w:rsidP="00BB4F22">
      <w:pPr>
        <w:ind w:left="708" w:hanging="708"/>
      </w:pPr>
      <w:r>
        <w:t xml:space="preserve">- </w:t>
      </w:r>
      <w:r w:rsidR="00BB4F22">
        <w:t>traitement pris au long cours (2) plus particulièrement propice aux</w:t>
      </w:r>
      <w:r w:rsidR="008E0163">
        <w:t xml:space="preserve"> organismes opportunistes dont les</w:t>
      </w:r>
      <w:r w:rsidR="00BB4F22">
        <w:t xml:space="preserve"> champignons</w:t>
      </w:r>
      <w:r>
        <w:t xml:space="preserve"> (2</w:t>
      </w:r>
      <w:r w:rsidR="00BB4F22">
        <w:t xml:space="preserve">) </w:t>
      </w:r>
    </w:p>
    <w:p w:rsidR="00BB4F22" w:rsidRDefault="00BB4F22" w:rsidP="00BB4F22">
      <w:pPr>
        <w:ind w:left="708" w:hanging="708"/>
      </w:pPr>
      <w:r>
        <w:t>- le faible poids du patient peut constituer une situation</w:t>
      </w:r>
      <w:r w:rsidR="00157F06">
        <w:t xml:space="preserve"> délétère supplémentaire (1</w:t>
      </w:r>
      <w:r>
        <w:t>)</w:t>
      </w:r>
    </w:p>
    <w:p w:rsidR="005C2FBA" w:rsidRDefault="00BB4F22" w:rsidP="00665E9E">
      <w:r>
        <w:t>- origine asiatique et hypertension ont peu de valeur par rapport à une infection fongique opportuniste (1)</w:t>
      </w:r>
      <w:r w:rsidR="008E0163">
        <w:t xml:space="preserve"> ne semblant pas liée à un contexte de voyage en zone endémique</w:t>
      </w:r>
      <w:r w:rsidR="00B46A62">
        <w:t>.</w:t>
      </w:r>
    </w:p>
    <w:p w:rsidR="005C2FBA" w:rsidRDefault="005C2FBA" w:rsidP="00665E9E"/>
    <w:p w:rsidR="00665E9E" w:rsidRPr="008F0839" w:rsidRDefault="00665E9E" w:rsidP="00665E9E">
      <w:pPr>
        <w:rPr>
          <w:b/>
        </w:rPr>
      </w:pPr>
      <w:r w:rsidRPr="008F0839">
        <w:rPr>
          <w:b/>
        </w:rPr>
        <w:t>2) Quel organisme fongique peut être suspecté</w:t>
      </w:r>
      <w:r w:rsidR="00B1131A">
        <w:rPr>
          <w:b/>
        </w:rPr>
        <w:t xml:space="preserve"> dans la pathologie récidivante des 2 années précédentes</w:t>
      </w:r>
      <w:r w:rsidRPr="008F0839">
        <w:rPr>
          <w:b/>
        </w:rPr>
        <w:t>?</w:t>
      </w:r>
      <w:r w:rsidR="00035D2B">
        <w:rPr>
          <w:b/>
        </w:rPr>
        <w:t xml:space="preserve"> </w:t>
      </w:r>
      <w:r w:rsidR="006C1835">
        <w:rPr>
          <w:b/>
        </w:rPr>
        <w:t>(</w:t>
      </w:r>
      <w:r w:rsidR="004F686C">
        <w:rPr>
          <w:b/>
        </w:rPr>
        <w:t>4</w:t>
      </w:r>
      <w:r w:rsidR="005717E4">
        <w:rPr>
          <w:b/>
        </w:rPr>
        <w:t>)</w:t>
      </w:r>
    </w:p>
    <w:p w:rsidR="00B46A62" w:rsidRDefault="00B46A62" w:rsidP="00665E9E">
      <w:r>
        <w:t>Une méningite est diagnostiquée sur les signes cliniques des nausées, vomissements, raideur de la nuque</w:t>
      </w:r>
      <w:r w:rsidR="00035D2B">
        <w:t xml:space="preserve"> (1)</w:t>
      </w:r>
      <w:r>
        <w:t xml:space="preserve">. </w:t>
      </w:r>
    </w:p>
    <w:p w:rsidR="00B46A62" w:rsidRDefault="00B46A62" w:rsidP="00665E9E">
      <w:r>
        <w:t xml:space="preserve">L'implication d'un organisme fongique est </w:t>
      </w:r>
      <w:proofErr w:type="gramStart"/>
      <w:r>
        <w:t>suspecté</w:t>
      </w:r>
      <w:proofErr w:type="gramEnd"/>
      <w:r>
        <w:t xml:space="preserve"> en raison du caract</w:t>
      </w:r>
      <w:r w:rsidR="004F686C">
        <w:t>ère chronique</w:t>
      </w:r>
      <w:r w:rsidR="00035D2B">
        <w:t xml:space="preserve"> </w:t>
      </w:r>
      <w:r>
        <w:t>de la pathologie ayant donné lieu à 4 hospitalisations durant les deux années précédentes</w:t>
      </w:r>
      <w:r w:rsidR="00035D2B">
        <w:t xml:space="preserve"> (1)</w:t>
      </w:r>
      <w:r>
        <w:t>.</w:t>
      </w:r>
    </w:p>
    <w:p w:rsidR="002A588E" w:rsidRDefault="00E16B49" w:rsidP="00665E9E">
      <w:r>
        <w:t>La méningite fongique</w:t>
      </w:r>
      <w:r w:rsidR="005717E4">
        <w:t xml:space="preserve"> (1)</w:t>
      </w:r>
      <w:r>
        <w:t xml:space="preserve"> est le plus souvent due à </w:t>
      </w:r>
      <w:proofErr w:type="spellStart"/>
      <w:r w:rsidRPr="00E16B49">
        <w:rPr>
          <w:i/>
        </w:rPr>
        <w:t>Cryptococcus</w:t>
      </w:r>
      <w:proofErr w:type="spellEnd"/>
      <w:r w:rsidRPr="00E16B49">
        <w:rPr>
          <w:i/>
        </w:rPr>
        <w:t xml:space="preserve"> </w:t>
      </w:r>
      <w:proofErr w:type="spellStart"/>
      <w:r w:rsidRPr="00E16B49">
        <w:rPr>
          <w:i/>
        </w:rPr>
        <w:t>neoformans</w:t>
      </w:r>
      <w:proofErr w:type="spellEnd"/>
      <w:r>
        <w:t xml:space="preserve"> </w:t>
      </w:r>
      <w:r w:rsidR="004F686C">
        <w:t>(1 + 1</w:t>
      </w:r>
      <w:r>
        <w:t xml:space="preserve"> </w:t>
      </w:r>
      <w:r w:rsidR="00B46A62">
        <w:t xml:space="preserve">si </w:t>
      </w:r>
      <w:r>
        <w:t>binôme l</w:t>
      </w:r>
      <w:r w:rsidR="00B46A62">
        <w:t>atin correctement orthographié et</w:t>
      </w:r>
      <w:r>
        <w:t xml:space="preserve"> respect du soulignement et des initiales</w:t>
      </w:r>
      <w:r w:rsidR="00B46A62">
        <w:t>, majuscule au nom de genre et minuscule au qualificatif de l'espèce</w:t>
      </w:r>
      <w:r w:rsidR="002A588E">
        <w:t>)</w:t>
      </w:r>
      <w:r w:rsidR="0075326B">
        <w:t xml:space="preserve"> </w:t>
      </w:r>
    </w:p>
    <w:p w:rsidR="00E16B49" w:rsidRDefault="00E16B49" w:rsidP="00665E9E"/>
    <w:p w:rsidR="00665E9E" w:rsidRDefault="00665E9E" w:rsidP="00665E9E">
      <w:pPr>
        <w:rPr>
          <w:b/>
        </w:rPr>
      </w:pPr>
      <w:r w:rsidRPr="008F0839">
        <w:rPr>
          <w:b/>
        </w:rPr>
        <w:t xml:space="preserve">3) </w:t>
      </w:r>
      <w:r w:rsidR="00602BDA" w:rsidRPr="00602BDA">
        <w:rPr>
          <w:b/>
        </w:rPr>
        <w:t>Quel est l’habitat naturel de ce pathogène et la voie de contamination la plus probable ?</w:t>
      </w:r>
      <w:r w:rsidR="006C1835">
        <w:rPr>
          <w:b/>
        </w:rPr>
        <w:t xml:space="preserve"> (5)</w:t>
      </w:r>
    </w:p>
    <w:p w:rsidR="00602BDA" w:rsidRDefault="00B46A62" w:rsidP="00665E9E">
      <w:r w:rsidRPr="00B46A62">
        <w:t>L</w:t>
      </w:r>
      <w:r>
        <w:t xml:space="preserve">'habitat naturel de </w:t>
      </w:r>
      <w:proofErr w:type="spellStart"/>
      <w:r w:rsidRPr="00B46A62">
        <w:rPr>
          <w:i/>
        </w:rPr>
        <w:t>Cryptococcus</w:t>
      </w:r>
      <w:proofErr w:type="spellEnd"/>
      <w:r w:rsidRPr="00B46A62">
        <w:rPr>
          <w:i/>
        </w:rPr>
        <w:t xml:space="preserve"> </w:t>
      </w:r>
      <w:proofErr w:type="spellStart"/>
      <w:r w:rsidRPr="00B46A62">
        <w:rPr>
          <w:i/>
        </w:rPr>
        <w:t>neoformans</w:t>
      </w:r>
      <w:proofErr w:type="spellEnd"/>
      <w:r>
        <w:t xml:space="preserve"> est le tube digestif des oiseaux</w:t>
      </w:r>
      <w:r w:rsidR="00035D2B">
        <w:t xml:space="preserve"> (1)</w:t>
      </w:r>
      <w:r>
        <w:t>, par exemple les pigeons</w:t>
      </w:r>
      <w:r w:rsidR="00586A07">
        <w:t xml:space="preserve"> qui sont présents notamment dans les villes</w:t>
      </w:r>
      <w:r>
        <w:t>.</w:t>
      </w:r>
    </w:p>
    <w:p w:rsidR="00B46A62" w:rsidRDefault="00B46A62" w:rsidP="00665E9E">
      <w:r>
        <w:t xml:space="preserve">La contamination se fait par les poussières de l'air </w:t>
      </w:r>
      <w:r w:rsidR="00035D2B">
        <w:t xml:space="preserve">(1) </w:t>
      </w:r>
      <w:r>
        <w:t xml:space="preserve">véhiculant des basidiospores infectantes </w:t>
      </w:r>
      <w:r w:rsidR="00035D2B">
        <w:t xml:space="preserve">(1) </w:t>
      </w:r>
      <w:r>
        <w:t>qui sont inhalées</w:t>
      </w:r>
      <w:r w:rsidR="00035D2B">
        <w:t xml:space="preserve"> = voies respiratoires ou pulmonaires (1)</w:t>
      </w:r>
      <w:r>
        <w:t>.</w:t>
      </w:r>
    </w:p>
    <w:p w:rsidR="00586A07" w:rsidRDefault="00586A07" w:rsidP="00665E9E">
      <w:r>
        <w:t>La voie de contamination est pulmonaire… mais il est possible d'avoir des infections cutanées primaires suite à des brèches de la barrière cutanée</w:t>
      </w:r>
      <w:r w:rsidR="00035D2B">
        <w:t xml:space="preserve"> (1)</w:t>
      </w:r>
      <w:r>
        <w:t>.</w:t>
      </w:r>
    </w:p>
    <w:p w:rsidR="00586A07" w:rsidRPr="00035D2B" w:rsidRDefault="00586A07" w:rsidP="00665E9E">
      <w:pPr>
        <w:rPr>
          <w:i/>
        </w:rPr>
      </w:pPr>
      <w:r w:rsidRPr="00035D2B">
        <w:rPr>
          <w:i/>
        </w:rPr>
        <w:t>BONUS:</w:t>
      </w:r>
    </w:p>
    <w:p w:rsidR="00586A07" w:rsidRPr="00035D2B" w:rsidRDefault="00586A07" w:rsidP="00665E9E">
      <w:pPr>
        <w:rPr>
          <w:i/>
        </w:rPr>
      </w:pPr>
      <w:r w:rsidRPr="00035D2B">
        <w:rPr>
          <w:i/>
        </w:rPr>
        <w:t>La contamination initiale est le plus souvent ancienne</w:t>
      </w:r>
      <w:r w:rsidR="00035D2B" w:rsidRPr="00035D2B">
        <w:rPr>
          <w:i/>
        </w:rPr>
        <w:t xml:space="preserve"> (1)</w:t>
      </w:r>
      <w:r w:rsidRPr="00035D2B">
        <w:rPr>
          <w:i/>
        </w:rPr>
        <w:t>, le champignon pouvant être présent sous forme latente (1) dans les macrophages pulmonaires (1); le déclanchement du processus infectieux se fera à l'occasion d'une immunodépression ou immunosuppression ultérieure (1).</w:t>
      </w:r>
    </w:p>
    <w:p w:rsidR="00602BDA" w:rsidRDefault="00602BDA" w:rsidP="00665E9E">
      <w:pPr>
        <w:rPr>
          <w:b/>
        </w:rPr>
      </w:pPr>
    </w:p>
    <w:p w:rsidR="00602BDA" w:rsidRPr="00602BDA" w:rsidRDefault="00602BDA" w:rsidP="00095668">
      <w:pPr>
        <w:keepNext/>
        <w:rPr>
          <w:b/>
        </w:rPr>
      </w:pPr>
      <w:r w:rsidRPr="00602BDA">
        <w:rPr>
          <w:b/>
        </w:rPr>
        <w:t>4) Commenter rapidement l’hémogramme</w:t>
      </w:r>
      <w:r w:rsidR="0095454E">
        <w:rPr>
          <w:b/>
        </w:rPr>
        <w:t xml:space="preserve"> (5)</w:t>
      </w:r>
      <w:r w:rsidRPr="00602BDA">
        <w:rPr>
          <w:b/>
        </w:rPr>
        <w:t>.</w:t>
      </w:r>
    </w:p>
    <w:p w:rsidR="00094834" w:rsidRDefault="00602BDA" w:rsidP="00095668">
      <w:pPr>
        <w:keepNext/>
      </w:pPr>
      <w:r w:rsidRPr="00602BDA">
        <w:t xml:space="preserve">Hémoglobine </w:t>
      </w:r>
      <w:r>
        <w:t>légèrement</w:t>
      </w:r>
      <w:r w:rsidRPr="00602BDA">
        <w:t xml:space="preserve"> en dessous de la norme</w:t>
      </w:r>
      <w:r w:rsidRPr="00602BDA">
        <w:rPr>
          <w:b/>
        </w:rPr>
        <w:t xml:space="preserve"> </w:t>
      </w:r>
      <w:r w:rsidRPr="00602BDA">
        <w:t>peut être à me</w:t>
      </w:r>
      <w:r>
        <w:t xml:space="preserve">ttre en </w:t>
      </w:r>
      <w:r w:rsidR="00586A07">
        <w:t>relation avec son faible poids</w:t>
      </w:r>
      <w:r w:rsidR="0028144B">
        <w:t xml:space="preserve"> (1</w:t>
      </w:r>
      <w:proofErr w:type="gramStart"/>
      <w:r w:rsidR="0028144B">
        <w:t>)</w:t>
      </w:r>
      <w:r w:rsidR="00387421">
        <w:t xml:space="preserve"> </w:t>
      </w:r>
      <w:r w:rsidR="00586A07">
        <w:t>.</w:t>
      </w:r>
      <w:proofErr w:type="gramEnd"/>
      <w:r w:rsidRPr="00602BDA">
        <w:t xml:space="preserve"> </w:t>
      </w:r>
    </w:p>
    <w:p w:rsidR="00095668" w:rsidRDefault="00095668" w:rsidP="00095668">
      <w:r>
        <w:t>Leucocytes dans la norme</w:t>
      </w:r>
      <w:r w:rsidR="0028144B">
        <w:t xml:space="preserve"> globalement, mais lymphopénie</w:t>
      </w:r>
      <w:r w:rsidR="0095454E">
        <w:t>: immunité cellulaire en baisse</w:t>
      </w:r>
      <w:r w:rsidR="0028144B">
        <w:t xml:space="preserve"> (1)</w:t>
      </w:r>
    </w:p>
    <w:p w:rsidR="0095454E" w:rsidRDefault="0095454E" w:rsidP="00095668">
      <w:r>
        <w:t>Urée créatinine: limite hautes : surveillance rénale à envisager (1)</w:t>
      </w:r>
    </w:p>
    <w:p w:rsidR="00602BDA" w:rsidRPr="00602BDA" w:rsidRDefault="0095454E" w:rsidP="00665E9E">
      <w:r>
        <w:t>ASAT et ALAT: fonctions hépatiques ok Na limite basse K limite haute (1)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669"/>
        <w:gridCol w:w="3223"/>
        <w:gridCol w:w="3223"/>
      </w:tblGrid>
      <w:tr w:rsidR="00094834" w:rsidTr="000A0934">
        <w:tc>
          <w:tcPr>
            <w:tcW w:w="3669" w:type="dxa"/>
          </w:tcPr>
          <w:p w:rsidR="00094834" w:rsidRDefault="00094834" w:rsidP="000A0934"/>
        </w:tc>
        <w:tc>
          <w:tcPr>
            <w:tcW w:w="3223" w:type="dxa"/>
          </w:tcPr>
          <w:p w:rsidR="00094834" w:rsidRDefault="00094834" w:rsidP="000A0934">
            <w:r>
              <w:t>Patient</w:t>
            </w:r>
          </w:p>
        </w:tc>
        <w:tc>
          <w:tcPr>
            <w:tcW w:w="3223" w:type="dxa"/>
          </w:tcPr>
          <w:p w:rsidR="00094834" w:rsidRDefault="00094834" w:rsidP="000A0934">
            <w:r>
              <w:t>Normes</w:t>
            </w:r>
          </w:p>
        </w:tc>
      </w:tr>
      <w:tr w:rsidR="00094834" w:rsidTr="000A0934">
        <w:tc>
          <w:tcPr>
            <w:tcW w:w="3669" w:type="dxa"/>
          </w:tcPr>
          <w:p w:rsidR="00094834" w:rsidRDefault="00094834" w:rsidP="000A0934">
            <w:r>
              <w:t>Hémoglobine</w:t>
            </w:r>
          </w:p>
        </w:tc>
        <w:tc>
          <w:tcPr>
            <w:tcW w:w="3223" w:type="dxa"/>
          </w:tcPr>
          <w:p w:rsidR="00094834" w:rsidRDefault="00094834" w:rsidP="000A0934">
            <w:proofErr w:type="gramStart"/>
            <w:r>
              <w:t>11,7g/</w:t>
            </w:r>
            <w:proofErr w:type="spellStart"/>
            <w:r>
              <w:t>dL</w:t>
            </w:r>
            <w:proofErr w:type="spellEnd"/>
            <w:proofErr w:type="gramEnd"/>
          </w:p>
        </w:tc>
        <w:tc>
          <w:tcPr>
            <w:tcW w:w="3223" w:type="dxa"/>
          </w:tcPr>
          <w:p w:rsidR="00094834" w:rsidRDefault="00094834" w:rsidP="000A0934">
            <w:r>
              <w:t>13,5-17</w:t>
            </w:r>
            <w:r w:rsidR="00ED196B">
              <w:t xml:space="preserve"> / </w:t>
            </w:r>
            <w:r w:rsidR="00ED196B" w:rsidRPr="00ED196B">
              <w:rPr>
                <w:b/>
                <w:color w:val="FF0000"/>
              </w:rPr>
              <w:t>130-170 g/L</w:t>
            </w:r>
          </w:p>
        </w:tc>
      </w:tr>
      <w:tr w:rsidR="00094834" w:rsidRPr="0028144B" w:rsidTr="000A0934">
        <w:tc>
          <w:tcPr>
            <w:tcW w:w="3669" w:type="dxa"/>
          </w:tcPr>
          <w:p w:rsidR="00094834" w:rsidRDefault="00094834" w:rsidP="000A0934">
            <w:r>
              <w:t>Leucocytes</w:t>
            </w:r>
          </w:p>
          <w:p w:rsidR="00094834" w:rsidRDefault="00094834" w:rsidP="000A0934">
            <w:r>
              <w:t xml:space="preserve">     neutrophiles</w:t>
            </w:r>
          </w:p>
          <w:p w:rsidR="00094834" w:rsidRDefault="00094834" w:rsidP="000A0934">
            <w:r>
              <w:t xml:space="preserve">     monocytes</w:t>
            </w:r>
          </w:p>
          <w:p w:rsidR="00094834" w:rsidRDefault="00094834" w:rsidP="000A0934">
            <w:r>
              <w:t xml:space="preserve">     lymphocytes</w:t>
            </w:r>
          </w:p>
        </w:tc>
        <w:tc>
          <w:tcPr>
            <w:tcW w:w="3223" w:type="dxa"/>
          </w:tcPr>
          <w:p w:rsidR="00094834" w:rsidRDefault="00094834" w:rsidP="000A0934">
            <w:r>
              <w:t>8,7 x10</w:t>
            </w:r>
            <w:r w:rsidRPr="00715774">
              <w:rPr>
                <w:vertAlign w:val="superscript"/>
              </w:rPr>
              <w:t>9</w:t>
            </w:r>
            <w:r>
              <w:t xml:space="preserve"> /L</w:t>
            </w:r>
          </w:p>
          <w:p w:rsidR="00094834" w:rsidRDefault="00094834" w:rsidP="000A0934">
            <w:r>
              <w:t xml:space="preserve">           91%</w:t>
            </w:r>
          </w:p>
          <w:p w:rsidR="00094834" w:rsidRDefault="00094834" w:rsidP="000A0934">
            <w:r>
              <w:t xml:space="preserve">             3%</w:t>
            </w:r>
          </w:p>
          <w:p w:rsidR="00094834" w:rsidRDefault="00094834" w:rsidP="000A0934">
            <w:r>
              <w:t xml:space="preserve">             3,2%</w:t>
            </w:r>
          </w:p>
        </w:tc>
        <w:tc>
          <w:tcPr>
            <w:tcW w:w="3223" w:type="dxa"/>
          </w:tcPr>
          <w:p w:rsidR="00094834" w:rsidRDefault="00094834" w:rsidP="000A0934">
            <w:r>
              <w:t>3,4-9,1</w:t>
            </w:r>
            <w:r w:rsidR="00ED196B">
              <w:t xml:space="preserve">/ </w:t>
            </w:r>
            <w:r w:rsidR="00ED196B" w:rsidRPr="00ED196B">
              <w:rPr>
                <w:b/>
                <w:color w:val="FF0000"/>
              </w:rPr>
              <w:t>4-10 G/L</w:t>
            </w:r>
          </w:p>
          <w:p w:rsidR="0028144B" w:rsidRDefault="0028144B" w:rsidP="000A0934">
            <w:proofErr w:type="spellStart"/>
            <w:r>
              <w:t>Cad</w:t>
            </w:r>
            <w:proofErr w:type="spellEnd"/>
            <w:r>
              <w:t>… 7,9G/L*</w:t>
            </w:r>
            <w:r w:rsidR="00ED196B">
              <w:t xml:space="preserve">/ </w:t>
            </w:r>
            <w:r w:rsidR="00ED196B" w:rsidRPr="00ED196B">
              <w:rPr>
                <w:b/>
                <w:color w:val="FF0000"/>
              </w:rPr>
              <w:t>2-7,5 G/L</w:t>
            </w:r>
          </w:p>
          <w:p w:rsidR="0028144B" w:rsidRPr="0028144B" w:rsidRDefault="0028144B" w:rsidP="000A0934">
            <w:pPr>
              <w:rPr>
                <w:lang w:val="en-US"/>
              </w:rPr>
            </w:pPr>
            <w:r w:rsidRPr="0028144B">
              <w:rPr>
                <w:lang w:val="en-US"/>
              </w:rPr>
              <w:t>Cad… 0,261 G/L</w:t>
            </w:r>
            <w:r w:rsidR="00ED196B">
              <w:rPr>
                <w:lang w:val="en-US"/>
              </w:rPr>
              <w:t xml:space="preserve">/ </w:t>
            </w:r>
            <w:r w:rsidR="00ED196B" w:rsidRPr="00ED196B">
              <w:rPr>
                <w:b/>
                <w:color w:val="FF0000"/>
                <w:lang w:val="en-US"/>
              </w:rPr>
              <w:t>0,2-1 G/L</w:t>
            </w:r>
          </w:p>
          <w:p w:rsidR="0028144B" w:rsidRPr="0028144B" w:rsidRDefault="0028144B" w:rsidP="000A0934">
            <w:pPr>
              <w:rPr>
                <w:lang w:val="en-US"/>
              </w:rPr>
            </w:pPr>
            <w:r w:rsidRPr="0028144B">
              <w:rPr>
                <w:lang w:val="en-US"/>
              </w:rPr>
              <w:t>Cad…0,27 G/L</w:t>
            </w:r>
            <w:r w:rsidR="00ED196B">
              <w:rPr>
                <w:lang w:val="en-US"/>
              </w:rPr>
              <w:t xml:space="preserve">/ </w:t>
            </w:r>
            <w:r w:rsidR="00ED196B" w:rsidRPr="00ED196B">
              <w:rPr>
                <w:b/>
                <w:color w:val="FF0000"/>
                <w:lang w:val="en-US"/>
              </w:rPr>
              <w:t>1-4 G/L</w:t>
            </w:r>
          </w:p>
        </w:tc>
      </w:tr>
      <w:tr w:rsidR="00094834" w:rsidTr="000A0934">
        <w:tc>
          <w:tcPr>
            <w:tcW w:w="3669" w:type="dxa"/>
          </w:tcPr>
          <w:p w:rsidR="00094834" w:rsidRDefault="00094834" w:rsidP="000A0934">
            <w:r>
              <w:t>Urée</w:t>
            </w:r>
          </w:p>
        </w:tc>
        <w:tc>
          <w:tcPr>
            <w:tcW w:w="3223" w:type="dxa"/>
          </w:tcPr>
          <w:p w:rsidR="00094834" w:rsidRDefault="00094834" w:rsidP="000A0934">
            <w:proofErr w:type="gramStart"/>
            <w:r>
              <w:t>31mg/</w:t>
            </w:r>
            <w:proofErr w:type="spellStart"/>
            <w:r>
              <w:t>dL</w:t>
            </w:r>
            <w:proofErr w:type="spellEnd"/>
            <w:proofErr w:type="gramEnd"/>
          </w:p>
        </w:tc>
        <w:tc>
          <w:tcPr>
            <w:tcW w:w="3223" w:type="dxa"/>
          </w:tcPr>
          <w:p w:rsidR="00094834" w:rsidRDefault="00094834" w:rsidP="000A0934">
            <w:r>
              <w:t>21</w:t>
            </w:r>
            <w:r w:rsidR="0095454E">
              <w:t xml:space="preserve"> (10-30)</w:t>
            </w:r>
            <w:r w:rsidR="000A0934">
              <w:t xml:space="preserve">/ </w:t>
            </w:r>
            <w:r w:rsidR="000A0934" w:rsidRPr="000A0934">
              <w:rPr>
                <w:b/>
                <w:color w:val="FF0000"/>
              </w:rPr>
              <w:t>15-45</w:t>
            </w:r>
            <w:r w:rsidR="000A0934">
              <w:rPr>
                <w:b/>
                <w:color w:val="FF0000"/>
              </w:rPr>
              <w:t xml:space="preserve"> mg/</w:t>
            </w:r>
            <w:proofErr w:type="spellStart"/>
            <w:r w:rsidR="000A0934">
              <w:rPr>
                <w:b/>
                <w:color w:val="FF0000"/>
              </w:rPr>
              <w:t>dL</w:t>
            </w:r>
            <w:proofErr w:type="spellEnd"/>
          </w:p>
        </w:tc>
      </w:tr>
      <w:tr w:rsidR="00094834" w:rsidTr="000A0934">
        <w:tc>
          <w:tcPr>
            <w:tcW w:w="3669" w:type="dxa"/>
          </w:tcPr>
          <w:p w:rsidR="00094834" w:rsidRDefault="00094834" w:rsidP="000A0934">
            <w:r>
              <w:t>Créatinine</w:t>
            </w:r>
          </w:p>
        </w:tc>
        <w:tc>
          <w:tcPr>
            <w:tcW w:w="3223" w:type="dxa"/>
          </w:tcPr>
          <w:p w:rsidR="00094834" w:rsidRDefault="00094834" w:rsidP="000A0934">
            <w:proofErr w:type="gramStart"/>
            <w:r>
              <w:t>2,1mg/</w:t>
            </w:r>
            <w:proofErr w:type="spellStart"/>
            <w:r>
              <w:t>dL</w:t>
            </w:r>
            <w:proofErr w:type="spellEnd"/>
            <w:proofErr w:type="gramEnd"/>
          </w:p>
        </w:tc>
        <w:tc>
          <w:tcPr>
            <w:tcW w:w="3223" w:type="dxa"/>
          </w:tcPr>
          <w:p w:rsidR="00094834" w:rsidRDefault="00094834" w:rsidP="000A0934">
            <w:r>
              <w:t>0,7-1,5</w:t>
            </w:r>
            <w:r w:rsidR="000A0934">
              <w:t xml:space="preserve">/ </w:t>
            </w:r>
            <w:r w:rsidR="000A0934" w:rsidRPr="00ED196B">
              <w:rPr>
                <w:b/>
                <w:color w:val="FF0000"/>
              </w:rPr>
              <w:t>7-13 mg/L</w:t>
            </w:r>
          </w:p>
        </w:tc>
      </w:tr>
      <w:tr w:rsidR="00094834" w:rsidTr="000A0934">
        <w:tc>
          <w:tcPr>
            <w:tcW w:w="3669" w:type="dxa"/>
          </w:tcPr>
          <w:p w:rsidR="00094834" w:rsidRDefault="00094834" w:rsidP="000A0934">
            <w:proofErr w:type="spellStart"/>
            <w:r>
              <w:t>Aspartate</w:t>
            </w:r>
            <w:proofErr w:type="spellEnd"/>
            <w:r>
              <w:t>-</w:t>
            </w:r>
            <w:proofErr w:type="spellStart"/>
            <w:r>
              <w:t>amino</w:t>
            </w:r>
            <w:proofErr w:type="spellEnd"/>
            <w:r>
              <w:t>-transférase</w:t>
            </w:r>
          </w:p>
        </w:tc>
        <w:tc>
          <w:tcPr>
            <w:tcW w:w="3223" w:type="dxa"/>
          </w:tcPr>
          <w:p w:rsidR="00094834" w:rsidRDefault="00094834" w:rsidP="000A0934">
            <w:r>
              <w:t>21U/L</w:t>
            </w:r>
          </w:p>
        </w:tc>
        <w:tc>
          <w:tcPr>
            <w:tcW w:w="3223" w:type="dxa"/>
          </w:tcPr>
          <w:p w:rsidR="00094834" w:rsidRDefault="00094834" w:rsidP="000A0934">
            <w:r>
              <w:t>5-40</w:t>
            </w:r>
            <w:r w:rsidR="00ED196B">
              <w:t xml:space="preserve"> / </w:t>
            </w:r>
            <w:r w:rsidR="00ED196B" w:rsidRPr="00ED196B">
              <w:rPr>
                <w:b/>
                <w:color w:val="FF0000"/>
              </w:rPr>
              <w:t>&lt;35 UI/L</w:t>
            </w:r>
          </w:p>
        </w:tc>
      </w:tr>
      <w:tr w:rsidR="00094834" w:rsidTr="000A0934">
        <w:tc>
          <w:tcPr>
            <w:tcW w:w="3669" w:type="dxa"/>
          </w:tcPr>
          <w:p w:rsidR="00094834" w:rsidRDefault="00094834" w:rsidP="000A0934">
            <w:r>
              <w:t>Alanine-</w:t>
            </w:r>
            <w:proofErr w:type="spellStart"/>
            <w:r>
              <w:t>amino</w:t>
            </w:r>
            <w:proofErr w:type="spellEnd"/>
            <w:r>
              <w:t>-transférase</w:t>
            </w:r>
          </w:p>
        </w:tc>
        <w:tc>
          <w:tcPr>
            <w:tcW w:w="3223" w:type="dxa"/>
          </w:tcPr>
          <w:p w:rsidR="00094834" w:rsidRDefault="00094834" w:rsidP="000A0934">
            <w:r>
              <w:t>19U/L</w:t>
            </w:r>
          </w:p>
        </w:tc>
        <w:tc>
          <w:tcPr>
            <w:tcW w:w="3223" w:type="dxa"/>
          </w:tcPr>
          <w:p w:rsidR="00094834" w:rsidRDefault="00094834" w:rsidP="000A0934">
            <w:r>
              <w:t>5-55</w:t>
            </w:r>
            <w:r w:rsidR="00ED196B">
              <w:t xml:space="preserve"> / </w:t>
            </w:r>
            <w:r w:rsidR="00ED196B" w:rsidRPr="00ED196B">
              <w:rPr>
                <w:b/>
                <w:color w:val="FF0000"/>
              </w:rPr>
              <w:t>&lt; 45 UI/L</w:t>
            </w:r>
          </w:p>
        </w:tc>
      </w:tr>
      <w:tr w:rsidR="00094834" w:rsidTr="000A0934">
        <w:tc>
          <w:tcPr>
            <w:tcW w:w="3669" w:type="dxa"/>
          </w:tcPr>
          <w:p w:rsidR="00094834" w:rsidRDefault="00094834" w:rsidP="000A0934">
            <w:r>
              <w:t>Sodium</w:t>
            </w:r>
          </w:p>
        </w:tc>
        <w:tc>
          <w:tcPr>
            <w:tcW w:w="3223" w:type="dxa"/>
          </w:tcPr>
          <w:p w:rsidR="00094834" w:rsidRDefault="00094834" w:rsidP="000A0934">
            <w:r>
              <w:t>132mmol/L</w:t>
            </w:r>
          </w:p>
        </w:tc>
        <w:tc>
          <w:tcPr>
            <w:tcW w:w="3223" w:type="dxa"/>
          </w:tcPr>
          <w:p w:rsidR="00094834" w:rsidRDefault="00094834" w:rsidP="000A0934">
            <w:r>
              <w:t>135-155</w:t>
            </w:r>
            <w:r w:rsidR="00ED196B">
              <w:t xml:space="preserve"> / </w:t>
            </w:r>
            <w:r w:rsidR="00ED196B" w:rsidRPr="00ED196B">
              <w:rPr>
                <w:b/>
                <w:color w:val="FF0000"/>
              </w:rPr>
              <w:t xml:space="preserve">135-145 </w:t>
            </w:r>
            <w:proofErr w:type="spellStart"/>
            <w:r w:rsidR="00ED196B" w:rsidRPr="00ED196B">
              <w:rPr>
                <w:b/>
                <w:color w:val="FF0000"/>
              </w:rPr>
              <w:t>mmol</w:t>
            </w:r>
            <w:proofErr w:type="spellEnd"/>
            <w:r w:rsidR="00ED196B" w:rsidRPr="00ED196B">
              <w:rPr>
                <w:b/>
                <w:color w:val="FF0000"/>
              </w:rPr>
              <w:t>/L</w:t>
            </w:r>
          </w:p>
        </w:tc>
      </w:tr>
      <w:tr w:rsidR="00094834" w:rsidTr="000A0934">
        <w:tc>
          <w:tcPr>
            <w:tcW w:w="3669" w:type="dxa"/>
          </w:tcPr>
          <w:p w:rsidR="00094834" w:rsidRDefault="00094834" w:rsidP="000A0934">
            <w:r>
              <w:t>Potassium</w:t>
            </w:r>
          </w:p>
        </w:tc>
        <w:tc>
          <w:tcPr>
            <w:tcW w:w="3223" w:type="dxa"/>
          </w:tcPr>
          <w:p w:rsidR="00094834" w:rsidRDefault="00094834" w:rsidP="000A0934">
            <w:r>
              <w:t>4,9mmol/L</w:t>
            </w:r>
          </w:p>
        </w:tc>
        <w:tc>
          <w:tcPr>
            <w:tcW w:w="3223" w:type="dxa"/>
          </w:tcPr>
          <w:p w:rsidR="00094834" w:rsidRDefault="00094834" w:rsidP="000A0934">
            <w:r>
              <w:t>3,5-5,5</w:t>
            </w:r>
            <w:r w:rsidR="00ED196B">
              <w:t xml:space="preserve"> / </w:t>
            </w:r>
            <w:r w:rsidR="00ED196B" w:rsidRPr="00ED196B">
              <w:rPr>
                <w:b/>
                <w:color w:val="FF0000"/>
              </w:rPr>
              <w:t xml:space="preserve">3,5-4,5 </w:t>
            </w:r>
            <w:proofErr w:type="spellStart"/>
            <w:r w:rsidR="00ED196B" w:rsidRPr="00ED196B">
              <w:rPr>
                <w:b/>
                <w:color w:val="FF0000"/>
              </w:rPr>
              <w:t>mmol</w:t>
            </w:r>
            <w:proofErr w:type="spellEnd"/>
            <w:r w:rsidR="00ED196B" w:rsidRPr="00ED196B">
              <w:rPr>
                <w:b/>
                <w:color w:val="FF0000"/>
              </w:rPr>
              <w:t>/L</w:t>
            </w:r>
          </w:p>
        </w:tc>
      </w:tr>
    </w:tbl>
    <w:p w:rsidR="00FF6F1A" w:rsidRDefault="00FF6F1A" w:rsidP="00157F06"/>
    <w:p w:rsidR="008F0839" w:rsidRDefault="005717E4" w:rsidP="00665E9E">
      <w:pPr>
        <w:rPr>
          <w:b/>
        </w:rPr>
      </w:pPr>
      <w:r>
        <w:rPr>
          <w:b/>
        </w:rPr>
        <w:t>5</w:t>
      </w:r>
      <w:r w:rsidR="00665E9E" w:rsidRPr="005717E4">
        <w:rPr>
          <w:b/>
        </w:rPr>
        <w:t xml:space="preserve">) </w:t>
      </w:r>
      <w:r w:rsidRPr="005717E4">
        <w:rPr>
          <w:b/>
        </w:rPr>
        <w:t>Quels sont les examens et analyses complémentaires réalisés en vue d’identifier le pathogène ? Préciser les techniques employées et les résultats attendus.</w:t>
      </w:r>
      <w:r w:rsidR="004F686C">
        <w:rPr>
          <w:b/>
        </w:rPr>
        <w:t xml:space="preserve"> (18)</w:t>
      </w:r>
    </w:p>
    <w:p w:rsidR="005717E4" w:rsidRDefault="005717E4" w:rsidP="00665E9E">
      <w:r w:rsidRPr="00A87F43">
        <w:t xml:space="preserve">Afin de confirmer une cryptococcose </w:t>
      </w:r>
      <w:proofErr w:type="spellStart"/>
      <w:r w:rsidRPr="00A87F43">
        <w:t>neuroméningée</w:t>
      </w:r>
      <w:proofErr w:type="spellEnd"/>
      <w:r w:rsidRPr="00A87F43">
        <w:t xml:space="preserve">, </w:t>
      </w:r>
      <w:r w:rsidR="00A87F43" w:rsidRPr="00A87F43">
        <w:t>il convient de réaliser un prélèvement de LCR</w:t>
      </w:r>
      <w:r w:rsidR="00FF6F1A">
        <w:t xml:space="preserve"> (1)</w:t>
      </w:r>
    </w:p>
    <w:p w:rsidR="00FF6F1A" w:rsidRDefault="00FF6F1A" w:rsidP="00665E9E">
      <w:proofErr w:type="gramStart"/>
      <w:r>
        <w:t>qui</w:t>
      </w:r>
      <w:proofErr w:type="gramEnd"/>
      <w:r>
        <w:t xml:space="preserve"> devrait être clair comme de l'eau de roche (1), hyper protéiné (1), hypoglycémique (1) et lymphocytaire (1).</w:t>
      </w:r>
      <w:r w:rsidR="00355CF2">
        <w:t xml:space="preserve"> Ce LCR concentré par centrifugation sera d'une part mis en culture sur un milieu de </w:t>
      </w:r>
      <w:proofErr w:type="spellStart"/>
      <w:r w:rsidR="00355CF2">
        <w:t>Sabouraud</w:t>
      </w:r>
      <w:proofErr w:type="spellEnd"/>
      <w:r w:rsidR="00355CF2">
        <w:t xml:space="preserve"> (1) et d'autre part coloré sélectivement pour mettre en évidence la présence des levures avec un colorant spécifique des parois (1) comme le </w:t>
      </w:r>
      <w:proofErr w:type="spellStart"/>
      <w:r w:rsidR="00355CF2">
        <w:t>Gomori</w:t>
      </w:r>
      <w:proofErr w:type="spellEnd"/>
      <w:r w:rsidR="00355CF2">
        <w:t xml:space="preserve"> </w:t>
      </w:r>
      <w:proofErr w:type="spellStart"/>
      <w:r w:rsidR="00355CF2">
        <w:t>Grocott</w:t>
      </w:r>
      <w:proofErr w:type="spellEnd"/>
      <w:r w:rsidR="00355CF2">
        <w:t xml:space="preserve"> = imprégnation argentique (1).</w:t>
      </w:r>
    </w:p>
    <w:p w:rsidR="00FF6F1A" w:rsidRPr="00A87F43" w:rsidRDefault="00FF6F1A" w:rsidP="00665E9E">
      <w:r>
        <w:t xml:space="preserve">On recherchera les levures arrondies (1) à base large de bourgeonnement (1), sans pseudo-mycélium ni </w:t>
      </w:r>
      <w:proofErr w:type="spellStart"/>
      <w:r>
        <w:t>chlamydospores</w:t>
      </w:r>
      <w:proofErr w:type="spellEnd"/>
      <w:r>
        <w:t xml:space="preserve"> sur milieu contraint (1) et avec une réaction positive à la coloration négative à l'encre de Chine (1) montrant la présence d'une capsule</w:t>
      </w:r>
      <w:r w:rsidR="00355CF2">
        <w:t xml:space="preserve"> (1) sous forme d'un halo blanc entourant les </w:t>
      </w:r>
      <w:proofErr w:type="spellStart"/>
      <w:r w:rsidR="00355CF2">
        <w:t>blastospores</w:t>
      </w:r>
      <w:proofErr w:type="spellEnd"/>
      <w:r w:rsidR="00355CF2">
        <w:t xml:space="preserve"> </w:t>
      </w:r>
      <w:r>
        <w:t xml:space="preserve"> (1). On peut aussi rechercher les antigènes circulant capsulaires </w:t>
      </w:r>
      <w:proofErr w:type="spellStart"/>
      <w:r>
        <w:t>glucoxylomannane</w:t>
      </w:r>
      <w:proofErr w:type="spellEnd"/>
      <w:r w:rsidR="00355CF2">
        <w:t xml:space="preserve"> (1)</w:t>
      </w:r>
      <w:r>
        <w:t xml:space="preserve">, spécifiquement révélés par une coloration </w:t>
      </w:r>
      <w:r w:rsidR="00CE50DA">
        <w:t>comme le</w:t>
      </w:r>
      <w:r>
        <w:t xml:space="preserve"> </w:t>
      </w:r>
      <w:proofErr w:type="spellStart"/>
      <w:r>
        <w:t>muci</w:t>
      </w:r>
      <w:proofErr w:type="spellEnd"/>
      <w:r>
        <w:t xml:space="preserve"> carmin</w:t>
      </w:r>
      <w:r w:rsidR="00CE50DA">
        <w:t xml:space="preserve">, ou de la florescence = </w:t>
      </w:r>
      <w:proofErr w:type="spellStart"/>
      <w:r w:rsidR="00CE50DA">
        <w:t>calcofluor</w:t>
      </w:r>
      <w:proofErr w:type="spellEnd"/>
      <w:r w:rsidR="00CE50DA">
        <w:t xml:space="preserve"> (1)</w:t>
      </w:r>
      <w:r w:rsidR="00667D7B">
        <w:t>.</w:t>
      </w:r>
    </w:p>
    <w:p w:rsidR="00FF6F1A" w:rsidRPr="00FF6F1A" w:rsidRDefault="00FF6F1A" w:rsidP="00FF6F1A">
      <w:r w:rsidRPr="00FF6F1A">
        <w:t>Au cours des infections f</w:t>
      </w:r>
      <w:r w:rsidR="000A0934">
        <w:t>ongiques, sauf en cas  de septic</w:t>
      </w:r>
      <w:r w:rsidRPr="00FF6F1A">
        <w:t xml:space="preserve">émie, la formule leucocytaire n’est pas modifiée: </w:t>
      </w:r>
      <w:r w:rsidR="00CE50DA">
        <w:t xml:space="preserve">en cas d'une modification, un </w:t>
      </w:r>
      <w:r w:rsidRPr="00FF6F1A">
        <w:t>bilan d'extension</w:t>
      </w:r>
      <w:r w:rsidR="00CE50DA">
        <w:t xml:space="preserve"> est</w:t>
      </w:r>
      <w:r w:rsidRPr="00FF6F1A">
        <w:t xml:space="preserve"> à </w:t>
      </w:r>
      <w:r>
        <w:t>prévoir</w:t>
      </w:r>
      <w:r w:rsidRPr="00FF6F1A">
        <w:t xml:space="preserve"> pour </w:t>
      </w:r>
      <w:r>
        <w:t>vérifier</w:t>
      </w:r>
      <w:r w:rsidRPr="00FF6F1A">
        <w:t xml:space="preserve"> si </w:t>
      </w:r>
      <w:r>
        <w:t>l'</w:t>
      </w:r>
      <w:r w:rsidRPr="00FF6F1A">
        <w:t xml:space="preserve">atteinte </w:t>
      </w:r>
      <w:r>
        <w:t xml:space="preserve">est </w:t>
      </w:r>
      <w:r w:rsidRPr="00FF6F1A">
        <w:t>systémique</w:t>
      </w:r>
      <w:r>
        <w:t xml:space="preserve"> (1), par exemple avec une hémoculture</w:t>
      </w:r>
      <w:r w:rsidRPr="00FF6F1A">
        <w:t xml:space="preserve"> (1)</w:t>
      </w:r>
      <w:r>
        <w:t xml:space="preserve"> qui montrera des colonies brillantes, crémeuses à coulantes de couleur blanchâtres à beige (2) au bout de 48-72H (1)</w:t>
      </w:r>
      <w:r w:rsidRPr="00FF6F1A">
        <w:t>.</w:t>
      </w:r>
      <w:r w:rsidR="00605B21">
        <w:t xml:space="preserve"> Un profil caractéristique sera obtenu sur des galeries API (</w:t>
      </w:r>
      <w:proofErr w:type="spellStart"/>
      <w:r w:rsidR="00605B21">
        <w:t>auxanogramme-zymogramme</w:t>
      </w:r>
      <w:proofErr w:type="spellEnd"/>
      <w:r w:rsidR="00355CF2">
        <w:t xml:space="preserve"> type API C20, API Candida </w:t>
      </w:r>
      <w:r w:rsidR="004C4989">
        <w:t xml:space="preserve">ou </w:t>
      </w:r>
      <w:proofErr w:type="spellStart"/>
      <w:r w:rsidR="004C4989">
        <w:t>Au</w:t>
      </w:r>
      <w:r w:rsidR="00355CF2">
        <w:t>xacolor</w:t>
      </w:r>
      <w:proofErr w:type="spellEnd"/>
      <w:r w:rsidR="00605B21">
        <w:t xml:space="preserve">) avec notamment </w:t>
      </w:r>
      <w:r w:rsidR="00355CF2">
        <w:t xml:space="preserve">des activités </w:t>
      </w:r>
      <w:r w:rsidR="00605B21">
        <w:t xml:space="preserve">phénol-oxydase et </w:t>
      </w:r>
      <w:proofErr w:type="spellStart"/>
      <w:r w:rsidR="00605B21">
        <w:t>uréase</w:t>
      </w:r>
      <w:proofErr w:type="spellEnd"/>
      <w:r w:rsidR="00605B21">
        <w:t xml:space="preserve"> positives (1)</w:t>
      </w:r>
      <w:r w:rsidR="00355CF2">
        <w:t xml:space="preserve"> et une absence de fermentation des sucres.</w:t>
      </w:r>
    </w:p>
    <w:p w:rsidR="00FF6F1A" w:rsidRDefault="00355CF2" w:rsidP="00FF6F1A">
      <w:r>
        <w:t xml:space="preserve">On </w:t>
      </w:r>
      <w:r w:rsidR="004C4989">
        <w:t xml:space="preserve">confirmera </w:t>
      </w:r>
      <w:r>
        <w:t xml:space="preserve"> l'espèce voire </w:t>
      </w:r>
      <w:r w:rsidR="004C4989">
        <w:t>on identifiera</w:t>
      </w:r>
      <w:r>
        <w:t xml:space="preserve"> la souche grâce à l'amplification génétique (PCR)</w:t>
      </w:r>
      <w:r w:rsidR="004C4989">
        <w:t xml:space="preserve"> (1).</w:t>
      </w:r>
      <w:r>
        <w:t xml:space="preserve"> </w:t>
      </w:r>
    </w:p>
    <w:p w:rsidR="00355CF2" w:rsidRDefault="00355CF2" w:rsidP="00665E9E"/>
    <w:p w:rsidR="004C4989" w:rsidRPr="004C4989" w:rsidRDefault="004C4989" w:rsidP="004C4989">
      <w:pPr>
        <w:rPr>
          <w:b/>
        </w:rPr>
      </w:pPr>
      <w:r w:rsidRPr="004C4989">
        <w:rPr>
          <w:b/>
        </w:rPr>
        <w:t>6) Expliquer la séquence des traitements successifs et l’origine de l’échec thérapeutique des deux premiers traitements?</w:t>
      </w:r>
      <w:r w:rsidR="004F686C">
        <w:rPr>
          <w:b/>
        </w:rPr>
        <w:t xml:space="preserve"> (5)</w:t>
      </w:r>
    </w:p>
    <w:p w:rsidR="004C4989" w:rsidRDefault="004C4989" w:rsidP="004C4989">
      <w:r>
        <w:t>Comme déjà vu en réponse à la question 1) à  cause de la transplantation rénale le patient a été traité au long cours par des immunosuppresseurs et anti-inflammatoires qui ont contribué à affaiblir son système immunitaire.</w:t>
      </w:r>
    </w:p>
    <w:p w:rsidR="004C4989" w:rsidRDefault="004C4989" w:rsidP="004C4989">
      <w:r>
        <w:t xml:space="preserve">Pendant les 2 ans où ont eu lieu des méningites à répétition, avec non observance (1) du traitement -probablement déjà du </w:t>
      </w:r>
      <w:proofErr w:type="spellStart"/>
      <w:r>
        <w:t>fluconazole</w:t>
      </w:r>
      <w:proofErr w:type="spellEnd"/>
      <w:r>
        <w:t xml:space="preserve"> car celui-ci est donné à titre de prophylaxie</w:t>
      </w:r>
      <w:r w:rsidR="00667D7B">
        <w:t xml:space="preserve"> (200mg)</w:t>
      </w:r>
      <w:r>
        <w:t>, une résistance a progressivement apparue= sélection d'une souche résistante (1). La posologie et la molécule n'étant plus adaptées (1), on a abouti à l'échec thérapeutique (1).</w:t>
      </w:r>
    </w:p>
    <w:p w:rsidR="004C4989" w:rsidRDefault="004C4989" w:rsidP="004C4989">
      <w:r>
        <w:t>L'</w:t>
      </w:r>
      <w:proofErr w:type="spellStart"/>
      <w:r>
        <w:t>amphothéricine</w:t>
      </w:r>
      <w:proofErr w:type="spellEnd"/>
      <w:r>
        <w:t xml:space="preserve"> B </w:t>
      </w:r>
      <w:r w:rsidR="00667D7B">
        <w:t xml:space="preserve">seule, même sous forme </w:t>
      </w:r>
      <w:proofErr w:type="spellStart"/>
      <w:r w:rsidR="00667D7B">
        <w:t>liposomale</w:t>
      </w:r>
      <w:proofErr w:type="spellEnd"/>
      <w:r w:rsidR="00667D7B">
        <w:t xml:space="preserve"> </w:t>
      </w:r>
      <w:proofErr w:type="gramStart"/>
      <w:r w:rsidR="00667D7B">
        <w:t>( à</w:t>
      </w:r>
      <w:proofErr w:type="gramEnd"/>
      <w:r w:rsidR="00667D7B">
        <w:t xml:space="preserve"> cause de la nécessité de préserver au mieux les fonctions rénales dans le contexte préci</w:t>
      </w:r>
      <w:r w:rsidR="00F55A47">
        <w:t>s</w:t>
      </w:r>
      <w:r w:rsidR="00667D7B">
        <w:t xml:space="preserve"> de ce patient transplanté) </w:t>
      </w:r>
      <w:r>
        <w:t>qui a pris le relai</w:t>
      </w:r>
      <w:r w:rsidR="00667D7B">
        <w:t xml:space="preserve"> du </w:t>
      </w:r>
      <w:proofErr w:type="spellStart"/>
      <w:r w:rsidR="00667D7B">
        <w:t>fluconazole</w:t>
      </w:r>
      <w:proofErr w:type="spellEnd"/>
      <w:r>
        <w:t>, ne correspond pas au traitement</w:t>
      </w:r>
      <w:r w:rsidR="00667D7B">
        <w:t xml:space="preserve"> en première intention: on y adjoint habituellement la </w:t>
      </w:r>
      <w:proofErr w:type="spellStart"/>
      <w:r w:rsidR="00667D7B">
        <w:t>flucytocine</w:t>
      </w:r>
      <w:proofErr w:type="spellEnd"/>
      <w:r w:rsidR="00667D7B">
        <w:t xml:space="preserve"> (1). </w:t>
      </w:r>
    </w:p>
    <w:p w:rsidR="004C4989" w:rsidRDefault="004C4989" w:rsidP="004C4989"/>
    <w:p w:rsidR="004C4989" w:rsidRPr="00667D7B" w:rsidRDefault="004C4989" w:rsidP="004C4989">
      <w:pPr>
        <w:rPr>
          <w:b/>
        </w:rPr>
      </w:pPr>
      <w:r w:rsidRPr="00667D7B">
        <w:rPr>
          <w:b/>
        </w:rPr>
        <w:t>7) Quelle est la cause des nausées et vomissements apparus suite au troisième traitement ? Quel suivi est nécessaire lors de la mise en place de ce traitement? Justifier la réponse</w:t>
      </w:r>
      <w:r w:rsidR="004F686C">
        <w:rPr>
          <w:b/>
        </w:rPr>
        <w:t xml:space="preserve"> (5)</w:t>
      </w:r>
      <w:r w:rsidRPr="00667D7B">
        <w:rPr>
          <w:b/>
        </w:rPr>
        <w:t>.</w:t>
      </w:r>
    </w:p>
    <w:p w:rsidR="00E62F59" w:rsidRDefault="00F55A47">
      <w:r w:rsidRPr="00F55A47">
        <w:t>Les cultures du LCR étant négatives</w:t>
      </w:r>
      <w:r>
        <w:t>, il ne peut pas s'agir d'une récidive de la méningite (1).</w:t>
      </w:r>
    </w:p>
    <w:p w:rsidR="00F55A47" w:rsidRPr="00F55A47" w:rsidRDefault="00F55A47">
      <w:r>
        <w:t xml:space="preserve">Il s'agit donc probablement d'un effet secondaire lié à l'administration du dernier traitement antifongique, le </w:t>
      </w:r>
      <w:proofErr w:type="spellStart"/>
      <w:r>
        <w:t>voriconazole</w:t>
      </w:r>
      <w:proofErr w:type="spellEnd"/>
      <w:r>
        <w:t xml:space="preserve"> (1)</w:t>
      </w:r>
      <w:r w:rsidR="004F686C">
        <w:t xml:space="preserve">, d'autant plus que l'administration simultanée de </w:t>
      </w:r>
      <w:proofErr w:type="spellStart"/>
      <w:r w:rsidR="004F686C">
        <w:t>tacrolimus</w:t>
      </w:r>
      <w:proofErr w:type="spellEnd"/>
      <w:r w:rsidR="004F686C">
        <w:t>, qui est un effecteur de certains CYP (1) contribuera à la modification potentielle de son taux sérique (1)</w:t>
      </w:r>
      <w:r>
        <w:t>. Il conviendra donc</w:t>
      </w:r>
      <w:r w:rsidR="004F686C">
        <w:t xml:space="preserve"> de faire les dosages du </w:t>
      </w:r>
      <w:proofErr w:type="spellStart"/>
      <w:r w:rsidR="004F686C">
        <w:t>voriconazole</w:t>
      </w:r>
      <w:proofErr w:type="spellEnd"/>
      <w:r w:rsidR="004F686C">
        <w:t xml:space="preserve"> sérique et éventuellement de procéder à l'adaptation des </w:t>
      </w:r>
      <w:proofErr w:type="gramStart"/>
      <w:r w:rsidR="004F686C">
        <w:t>posologies</w:t>
      </w:r>
      <w:r>
        <w:t>(</w:t>
      </w:r>
      <w:proofErr w:type="gramEnd"/>
      <w:r>
        <w:t>1).</w:t>
      </w:r>
    </w:p>
    <w:p w:rsidR="004C4989" w:rsidRDefault="004C4989"/>
    <w:p w:rsidR="000D3BFF" w:rsidRDefault="000D3BFF">
      <w:r>
        <w:br w:type="page"/>
      </w:r>
    </w:p>
    <w:p w:rsidR="000D3BFF" w:rsidRPr="00E36490" w:rsidRDefault="000D3BFF">
      <w:pPr>
        <w:rPr>
          <w:b/>
        </w:rPr>
      </w:pPr>
      <w:r w:rsidRPr="00E36490">
        <w:rPr>
          <w:b/>
        </w:rPr>
        <w:lastRenderedPageBreak/>
        <w:t>Réponses</w:t>
      </w:r>
      <w:r w:rsidR="00667D7B">
        <w:rPr>
          <w:b/>
        </w:rPr>
        <w:t xml:space="preserve"> au QCS et QCM</w:t>
      </w:r>
    </w:p>
    <w:p w:rsidR="00B13E51" w:rsidRDefault="00B13E51" w:rsidP="00B13E51">
      <w:bookmarkStart w:id="0" w:name="_GoBack"/>
      <w:bookmarkEnd w:id="0"/>
      <w:r>
        <w:t>QCS</w:t>
      </w:r>
    </w:p>
    <w:p w:rsidR="00B64532" w:rsidRPr="00EE1805" w:rsidRDefault="00B64532" w:rsidP="00B64532">
      <w:r>
        <w:t>Parmi les situations pathologiques suivantes, laquelle ne constitue pas potentiellement un risque  de développer une candidose  invasive?</w:t>
      </w:r>
    </w:p>
    <w:p w:rsidR="005A3EA0" w:rsidRPr="006E4032" w:rsidRDefault="005A3EA0" w:rsidP="005A3EA0">
      <w:pPr>
        <w:rPr>
          <w:b/>
        </w:rPr>
      </w:pPr>
      <w:r w:rsidRPr="006E4032">
        <w:rPr>
          <w:b/>
        </w:rPr>
        <w:t>- asthme</w:t>
      </w:r>
    </w:p>
    <w:p w:rsidR="005A3EA0" w:rsidRDefault="005A3EA0" w:rsidP="00B13E51">
      <w:r>
        <w:t xml:space="preserve">- chirurgie cardiaque </w:t>
      </w:r>
    </w:p>
    <w:p w:rsidR="005A3EA0" w:rsidRDefault="005A3EA0" w:rsidP="005A3EA0">
      <w:r>
        <w:t>- diabète</w:t>
      </w:r>
    </w:p>
    <w:p w:rsidR="00B13E51" w:rsidRDefault="00B13E51" w:rsidP="00B13E51">
      <w:r>
        <w:t>- greffe de cellules souches</w:t>
      </w:r>
    </w:p>
    <w:p w:rsidR="005A3EA0" w:rsidRDefault="005A3EA0" w:rsidP="00B13E51">
      <w:r>
        <w:t>- toxicomanie IV</w:t>
      </w:r>
    </w:p>
    <w:p w:rsidR="00B13E51" w:rsidRDefault="00B13E51" w:rsidP="00B13E51"/>
    <w:p w:rsidR="00B13E51" w:rsidRDefault="00B13E51" w:rsidP="00B13E51">
      <w:r>
        <w:t>Parmi les antifongiques suivants lequel est spécifiquement destiné au traitement des onychomycoses?</w:t>
      </w:r>
    </w:p>
    <w:p w:rsidR="00B13E51" w:rsidRDefault="00B13E51" w:rsidP="00B13E51">
      <w:r>
        <w:t xml:space="preserve">- </w:t>
      </w:r>
      <w:proofErr w:type="spellStart"/>
      <w:r>
        <w:t>amphothéricine</w:t>
      </w:r>
      <w:proofErr w:type="spellEnd"/>
      <w:r>
        <w:t xml:space="preserve"> B</w:t>
      </w:r>
    </w:p>
    <w:p w:rsidR="00B13E51" w:rsidRDefault="00B13E51" w:rsidP="00B13E51">
      <w:r>
        <w:t xml:space="preserve">- </w:t>
      </w:r>
      <w:proofErr w:type="spellStart"/>
      <w:r>
        <w:t>caspofungine</w:t>
      </w:r>
      <w:proofErr w:type="spellEnd"/>
    </w:p>
    <w:p w:rsidR="00B13E51" w:rsidRDefault="00B13E51" w:rsidP="00B13E51">
      <w:r>
        <w:t xml:space="preserve">- </w:t>
      </w:r>
      <w:proofErr w:type="spellStart"/>
      <w:r>
        <w:t>fluconazole</w:t>
      </w:r>
      <w:proofErr w:type="spellEnd"/>
    </w:p>
    <w:p w:rsidR="00B13E51" w:rsidRDefault="00B13E51" w:rsidP="00B13E51">
      <w:r>
        <w:t xml:space="preserve">- </w:t>
      </w:r>
      <w:proofErr w:type="spellStart"/>
      <w:r>
        <w:t>posaconazole</w:t>
      </w:r>
      <w:proofErr w:type="spellEnd"/>
    </w:p>
    <w:p w:rsidR="00B13E51" w:rsidRPr="006E4032" w:rsidRDefault="00B13E51" w:rsidP="00B13E51">
      <w:pPr>
        <w:rPr>
          <w:b/>
        </w:rPr>
      </w:pPr>
      <w:r w:rsidRPr="006E4032">
        <w:rPr>
          <w:b/>
        </w:rPr>
        <w:t xml:space="preserve">- </w:t>
      </w:r>
      <w:proofErr w:type="spellStart"/>
      <w:r w:rsidRPr="006E4032">
        <w:rPr>
          <w:b/>
        </w:rPr>
        <w:t>terbinafine</w:t>
      </w:r>
      <w:proofErr w:type="spellEnd"/>
    </w:p>
    <w:p w:rsidR="00B13E51" w:rsidRDefault="00B13E51" w:rsidP="00B13E51"/>
    <w:p w:rsidR="00B13E51" w:rsidRDefault="00B13E51" w:rsidP="00B13E51">
      <w:r>
        <w:t>Lequel de ces antifongiques agit sur la synthèse des acides nucléiques</w:t>
      </w:r>
      <w:r w:rsidR="00B64532" w:rsidRPr="00B64532">
        <w:t xml:space="preserve"> </w:t>
      </w:r>
      <w:r w:rsidR="00B64532">
        <w:t>fongiques</w:t>
      </w:r>
      <w:r>
        <w:t>?</w:t>
      </w:r>
    </w:p>
    <w:p w:rsidR="00B13E51" w:rsidRDefault="00B13E51" w:rsidP="00B13E51">
      <w:r>
        <w:t xml:space="preserve">- </w:t>
      </w:r>
      <w:proofErr w:type="spellStart"/>
      <w:r>
        <w:t>amphothéricine</w:t>
      </w:r>
      <w:proofErr w:type="spellEnd"/>
      <w:r>
        <w:t xml:space="preserve"> B</w:t>
      </w:r>
    </w:p>
    <w:p w:rsidR="00B13E51" w:rsidRDefault="00B13E51" w:rsidP="00B13E51">
      <w:r>
        <w:t xml:space="preserve">- </w:t>
      </w:r>
      <w:proofErr w:type="spellStart"/>
      <w:r>
        <w:t>caspofungine</w:t>
      </w:r>
      <w:proofErr w:type="spellEnd"/>
    </w:p>
    <w:p w:rsidR="00B13E51" w:rsidRDefault="00B13E51" w:rsidP="00B13E51">
      <w:r>
        <w:t xml:space="preserve">- </w:t>
      </w:r>
      <w:proofErr w:type="spellStart"/>
      <w:r>
        <w:t>fluconazole</w:t>
      </w:r>
      <w:proofErr w:type="spellEnd"/>
    </w:p>
    <w:p w:rsidR="00B13E51" w:rsidRPr="006E4032" w:rsidRDefault="00B13E51" w:rsidP="00B13E51">
      <w:pPr>
        <w:rPr>
          <w:b/>
        </w:rPr>
      </w:pPr>
      <w:r w:rsidRPr="006E4032">
        <w:rPr>
          <w:b/>
        </w:rPr>
        <w:t xml:space="preserve">- </w:t>
      </w:r>
      <w:proofErr w:type="spellStart"/>
      <w:r w:rsidRPr="006E4032">
        <w:rPr>
          <w:b/>
        </w:rPr>
        <w:t>flucytosine</w:t>
      </w:r>
      <w:proofErr w:type="spellEnd"/>
    </w:p>
    <w:p w:rsidR="00B13E51" w:rsidRDefault="00B13E51" w:rsidP="00B13E51">
      <w:r>
        <w:t>- griséofulvine</w:t>
      </w:r>
    </w:p>
    <w:p w:rsidR="00B13E51" w:rsidRDefault="00B13E51" w:rsidP="00B13E51"/>
    <w:p w:rsidR="00B13E51" w:rsidRDefault="00B13E51" w:rsidP="00B13E51">
      <w:r>
        <w:t>QCM</w:t>
      </w:r>
    </w:p>
    <w:p w:rsidR="00B13E51" w:rsidRDefault="00B13E51" w:rsidP="00B13E51">
      <w:r>
        <w:t>Parmi les champignons suivants lesquels ont pour cible principale la sphère pulmonaire?</w:t>
      </w:r>
    </w:p>
    <w:p w:rsidR="00B13E51" w:rsidRPr="00EE1805" w:rsidRDefault="00B13E51" w:rsidP="00B13E51">
      <w:pPr>
        <w:rPr>
          <w:i/>
        </w:rPr>
      </w:pPr>
      <w:r w:rsidRPr="00EE1805">
        <w:rPr>
          <w:i/>
        </w:rPr>
        <w:t xml:space="preserve">- Candida </w:t>
      </w:r>
      <w:proofErr w:type="spellStart"/>
      <w:r w:rsidRPr="00EE1805">
        <w:rPr>
          <w:i/>
        </w:rPr>
        <w:t>albicans</w:t>
      </w:r>
      <w:proofErr w:type="spellEnd"/>
    </w:p>
    <w:p w:rsidR="00B13E51" w:rsidRPr="006E4032" w:rsidRDefault="00B13E51" w:rsidP="00B13E51">
      <w:pPr>
        <w:rPr>
          <w:b/>
          <w:i/>
        </w:rPr>
      </w:pPr>
      <w:r w:rsidRPr="006E4032">
        <w:rPr>
          <w:b/>
          <w:i/>
        </w:rPr>
        <w:t xml:space="preserve">- </w:t>
      </w:r>
      <w:proofErr w:type="spellStart"/>
      <w:r w:rsidRPr="006E4032">
        <w:rPr>
          <w:b/>
          <w:i/>
        </w:rPr>
        <w:t>Cryptococcus</w:t>
      </w:r>
      <w:proofErr w:type="spellEnd"/>
      <w:r w:rsidRPr="006E4032">
        <w:rPr>
          <w:b/>
          <w:i/>
        </w:rPr>
        <w:t xml:space="preserve"> </w:t>
      </w:r>
      <w:proofErr w:type="spellStart"/>
      <w:r w:rsidRPr="006E4032">
        <w:rPr>
          <w:b/>
          <w:i/>
        </w:rPr>
        <w:t>neoformans</w:t>
      </w:r>
      <w:proofErr w:type="spellEnd"/>
      <w:r w:rsidRPr="006E4032">
        <w:rPr>
          <w:b/>
          <w:i/>
        </w:rPr>
        <w:t xml:space="preserve"> </w:t>
      </w:r>
    </w:p>
    <w:p w:rsidR="00B13E51" w:rsidRPr="00EE1805" w:rsidRDefault="00B13E51" w:rsidP="00B13E51">
      <w:pPr>
        <w:rPr>
          <w:i/>
        </w:rPr>
      </w:pPr>
      <w:r w:rsidRPr="00EE1805">
        <w:rPr>
          <w:i/>
        </w:rPr>
        <w:t xml:space="preserve">- </w:t>
      </w:r>
      <w:proofErr w:type="spellStart"/>
      <w:r w:rsidRPr="00EE1805">
        <w:rPr>
          <w:i/>
        </w:rPr>
        <w:t>Microsporum</w:t>
      </w:r>
      <w:proofErr w:type="spellEnd"/>
      <w:r w:rsidRPr="00EE1805">
        <w:rPr>
          <w:i/>
        </w:rPr>
        <w:t xml:space="preserve"> </w:t>
      </w:r>
      <w:proofErr w:type="spellStart"/>
      <w:r w:rsidRPr="00EE1805">
        <w:rPr>
          <w:i/>
        </w:rPr>
        <w:t>canis</w:t>
      </w:r>
      <w:proofErr w:type="spellEnd"/>
    </w:p>
    <w:p w:rsidR="00B13E51" w:rsidRPr="006E4032" w:rsidRDefault="00B13E51" w:rsidP="00B13E51">
      <w:pPr>
        <w:rPr>
          <w:b/>
          <w:i/>
        </w:rPr>
      </w:pPr>
      <w:r w:rsidRPr="006E4032">
        <w:rPr>
          <w:b/>
          <w:i/>
        </w:rPr>
        <w:t xml:space="preserve">- </w:t>
      </w:r>
      <w:proofErr w:type="spellStart"/>
      <w:r w:rsidRPr="006E4032">
        <w:rPr>
          <w:b/>
          <w:i/>
        </w:rPr>
        <w:t>Pneumocystis</w:t>
      </w:r>
      <w:proofErr w:type="spellEnd"/>
      <w:r w:rsidRPr="006E4032">
        <w:rPr>
          <w:b/>
          <w:i/>
        </w:rPr>
        <w:t xml:space="preserve"> </w:t>
      </w:r>
      <w:proofErr w:type="spellStart"/>
      <w:r w:rsidRPr="006E4032">
        <w:rPr>
          <w:b/>
          <w:i/>
        </w:rPr>
        <w:t>jiroveci</w:t>
      </w:r>
      <w:proofErr w:type="spellEnd"/>
    </w:p>
    <w:p w:rsidR="00B13E51" w:rsidRDefault="00B13E51" w:rsidP="00B13E51">
      <w:pPr>
        <w:rPr>
          <w:i/>
        </w:rPr>
      </w:pPr>
      <w:r>
        <w:rPr>
          <w:i/>
        </w:rPr>
        <w:t xml:space="preserve">- Trichophyton </w:t>
      </w:r>
      <w:proofErr w:type="spellStart"/>
      <w:r>
        <w:rPr>
          <w:i/>
        </w:rPr>
        <w:t>rubrum</w:t>
      </w:r>
      <w:proofErr w:type="spellEnd"/>
    </w:p>
    <w:p w:rsidR="00B13E51" w:rsidRDefault="00B13E51" w:rsidP="00B13E51"/>
    <w:p w:rsidR="00B13E51" w:rsidRDefault="00B13E51" w:rsidP="00B13E51">
      <w:r>
        <w:t>Parmi les antifongiques systémiques suivants, lesquels peuvent être employés en seconde intention dans le traitement d'une aspergillose</w:t>
      </w:r>
      <w:r w:rsidR="00B64532" w:rsidRPr="00B64532">
        <w:t xml:space="preserve"> </w:t>
      </w:r>
      <w:r w:rsidR="00B64532">
        <w:t>invasive</w:t>
      </w:r>
      <w:r>
        <w:t>?</w:t>
      </w:r>
    </w:p>
    <w:p w:rsidR="00B13E51" w:rsidRPr="006E4032" w:rsidRDefault="00B13E51" w:rsidP="00B13E51">
      <w:pPr>
        <w:rPr>
          <w:b/>
        </w:rPr>
      </w:pPr>
      <w:r w:rsidRPr="006E4032">
        <w:rPr>
          <w:b/>
        </w:rPr>
        <w:t xml:space="preserve">- </w:t>
      </w:r>
      <w:proofErr w:type="spellStart"/>
      <w:r w:rsidRPr="006E4032">
        <w:rPr>
          <w:b/>
        </w:rPr>
        <w:t>amphothéricine</w:t>
      </w:r>
      <w:proofErr w:type="spellEnd"/>
      <w:r w:rsidRPr="006E4032">
        <w:rPr>
          <w:b/>
        </w:rPr>
        <w:t xml:space="preserve"> B</w:t>
      </w:r>
    </w:p>
    <w:p w:rsidR="00B13E51" w:rsidRPr="006E4032" w:rsidRDefault="00B13E51" w:rsidP="00B13E51">
      <w:pPr>
        <w:rPr>
          <w:b/>
        </w:rPr>
      </w:pPr>
      <w:r w:rsidRPr="006E4032">
        <w:rPr>
          <w:b/>
        </w:rPr>
        <w:t xml:space="preserve">- </w:t>
      </w:r>
      <w:proofErr w:type="spellStart"/>
      <w:r w:rsidRPr="006E4032">
        <w:rPr>
          <w:b/>
        </w:rPr>
        <w:t>caspofungine</w:t>
      </w:r>
      <w:proofErr w:type="spellEnd"/>
    </w:p>
    <w:p w:rsidR="00B13E51" w:rsidRDefault="00B13E51" w:rsidP="00B13E51">
      <w:r>
        <w:t xml:space="preserve">- </w:t>
      </w:r>
      <w:proofErr w:type="spellStart"/>
      <w:r>
        <w:t>griseofulvine</w:t>
      </w:r>
      <w:proofErr w:type="spellEnd"/>
    </w:p>
    <w:p w:rsidR="00B13E51" w:rsidRDefault="006E4032" w:rsidP="00B13E51">
      <w:r>
        <w:t xml:space="preserve">- </w:t>
      </w:r>
      <w:proofErr w:type="spellStart"/>
      <w:r>
        <w:t>fluc</w:t>
      </w:r>
      <w:r w:rsidR="00B13E51">
        <w:t>oconazole</w:t>
      </w:r>
      <w:proofErr w:type="spellEnd"/>
    </w:p>
    <w:p w:rsidR="00B13E51" w:rsidRPr="006E4032" w:rsidRDefault="00B13E51" w:rsidP="00B13E51">
      <w:pPr>
        <w:rPr>
          <w:b/>
        </w:rPr>
      </w:pPr>
      <w:r w:rsidRPr="006E4032">
        <w:rPr>
          <w:b/>
        </w:rPr>
        <w:t xml:space="preserve">- </w:t>
      </w:r>
      <w:proofErr w:type="spellStart"/>
      <w:r w:rsidR="006E4032" w:rsidRPr="006E4032">
        <w:rPr>
          <w:b/>
        </w:rPr>
        <w:t>p</w:t>
      </w:r>
      <w:r w:rsidRPr="006E4032">
        <w:rPr>
          <w:b/>
        </w:rPr>
        <w:t>osaconazole</w:t>
      </w:r>
      <w:proofErr w:type="spellEnd"/>
    </w:p>
    <w:p w:rsidR="00B13E51" w:rsidRDefault="00B13E51" w:rsidP="00B13E51"/>
    <w:p w:rsidR="00B13E51" w:rsidRDefault="00B13E51" w:rsidP="00B13E51">
      <w:r>
        <w:t>Parmi les situations pathologiques suivantes, lesquelles sont à considérer comme pouvant favoriser une pneumocystose?</w:t>
      </w:r>
    </w:p>
    <w:p w:rsidR="00B13E51" w:rsidRPr="006E4032" w:rsidRDefault="00B13E51" w:rsidP="00B13E51">
      <w:pPr>
        <w:rPr>
          <w:b/>
        </w:rPr>
      </w:pPr>
      <w:r w:rsidRPr="006E4032">
        <w:rPr>
          <w:b/>
        </w:rPr>
        <w:t>- asthme</w:t>
      </w:r>
    </w:p>
    <w:p w:rsidR="00B13E51" w:rsidRPr="006E4032" w:rsidRDefault="00B13E51" w:rsidP="00B13E51">
      <w:pPr>
        <w:rPr>
          <w:b/>
        </w:rPr>
      </w:pPr>
      <w:r w:rsidRPr="006E4032">
        <w:rPr>
          <w:b/>
        </w:rPr>
        <w:t>- bronch</w:t>
      </w:r>
      <w:r w:rsidR="006E4032">
        <w:rPr>
          <w:b/>
        </w:rPr>
        <w:t>o</w:t>
      </w:r>
      <w:r w:rsidRPr="006E4032">
        <w:rPr>
          <w:b/>
        </w:rPr>
        <w:t xml:space="preserve">pneumopathie chronique obstructive </w:t>
      </w:r>
    </w:p>
    <w:p w:rsidR="00B13E51" w:rsidRDefault="00B13E51" w:rsidP="00B13E51">
      <w:r>
        <w:t>- diabète</w:t>
      </w:r>
    </w:p>
    <w:p w:rsidR="00B13E51" w:rsidRPr="006E4032" w:rsidRDefault="00B13E51" w:rsidP="00B13E51">
      <w:pPr>
        <w:rPr>
          <w:b/>
        </w:rPr>
      </w:pPr>
      <w:r w:rsidRPr="006E4032">
        <w:rPr>
          <w:b/>
        </w:rPr>
        <w:t>- séropositivité VIH</w:t>
      </w:r>
    </w:p>
    <w:p w:rsidR="00B13E51" w:rsidRPr="006E4032" w:rsidRDefault="00B13E51" w:rsidP="00B13E51">
      <w:pPr>
        <w:rPr>
          <w:b/>
        </w:rPr>
      </w:pPr>
      <w:r w:rsidRPr="006E4032">
        <w:rPr>
          <w:b/>
        </w:rPr>
        <w:t>- traitement immunosuppresseur</w:t>
      </w:r>
    </w:p>
    <w:p w:rsidR="000D3BFF" w:rsidRDefault="000D3BFF" w:rsidP="00B13E51"/>
    <w:sectPr w:rsidR="000D3BFF" w:rsidSect="00592B13">
      <w:pgSz w:w="11906" w:h="16838"/>
      <w:pgMar w:top="720" w:right="720" w:bottom="720" w:left="12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77F6"/>
    <w:multiLevelType w:val="hybridMultilevel"/>
    <w:tmpl w:val="B992B620"/>
    <w:lvl w:ilvl="0" w:tplc="384ADE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1A"/>
    <w:rsid w:val="000000A1"/>
    <w:rsid w:val="00035D2B"/>
    <w:rsid w:val="0005323E"/>
    <w:rsid w:val="000620DC"/>
    <w:rsid w:val="0006608A"/>
    <w:rsid w:val="00094834"/>
    <w:rsid w:val="00095668"/>
    <w:rsid w:val="000A0934"/>
    <w:rsid w:val="000B1227"/>
    <w:rsid w:val="000D3BFF"/>
    <w:rsid w:val="000F07DA"/>
    <w:rsid w:val="000F7569"/>
    <w:rsid w:val="00110B1A"/>
    <w:rsid w:val="00157F06"/>
    <w:rsid w:val="001E2D9C"/>
    <w:rsid w:val="001F151C"/>
    <w:rsid w:val="00200214"/>
    <w:rsid w:val="00206878"/>
    <w:rsid w:val="00224C47"/>
    <w:rsid w:val="00266439"/>
    <w:rsid w:val="0028144B"/>
    <w:rsid w:val="002A588E"/>
    <w:rsid w:val="00333A88"/>
    <w:rsid w:val="00352601"/>
    <w:rsid w:val="00355CF2"/>
    <w:rsid w:val="00387053"/>
    <w:rsid w:val="00387421"/>
    <w:rsid w:val="00474355"/>
    <w:rsid w:val="004C2D70"/>
    <w:rsid w:val="004C4989"/>
    <w:rsid w:val="004F2086"/>
    <w:rsid w:val="004F686C"/>
    <w:rsid w:val="0052016E"/>
    <w:rsid w:val="005316DF"/>
    <w:rsid w:val="00570FBB"/>
    <w:rsid w:val="0057112E"/>
    <w:rsid w:val="005717E4"/>
    <w:rsid w:val="00582507"/>
    <w:rsid w:val="00586A07"/>
    <w:rsid w:val="005916D7"/>
    <w:rsid w:val="00592B13"/>
    <w:rsid w:val="005A3EA0"/>
    <w:rsid w:val="005C2FBA"/>
    <w:rsid w:val="005E73F4"/>
    <w:rsid w:val="00602BDA"/>
    <w:rsid w:val="00605B21"/>
    <w:rsid w:val="006111FF"/>
    <w:rsid w:val="00665E9E"/>
    <w:rsid w:val="00667D7B"/>
    <w:rsid w:val="0067221E"/>
    <w:rsid w:val="00695153"/>
    <w:rsid w:val="006C1835"/>
    <w:rsid w:val="006C3706"/>
    <w:rsid w:val="006E4032"/>
    <w:rsid w:val="006F3666"/>
    <w:rsid w:val="006F591A"/>
    <w:rsid w:val="00705D92"/>
    <w:rsid w:val="00715774"/>
    <w:rsid w:val="0075326B"/>
    <w:rsid w:val="007C78D5"/>
    <w:rsid w:val="00862D88"/>
    <w:rsid w:val="008713AA"/>
    <w:rsid w:val="008B7176"/>
    <w:rsid w:val="008D1597"/>
    <w:rsid w:val="008E0163"/>
    <w:rsid w:val="008F0839"/>
    <w:rsid w:val="00914D1F"/>
    <w:rsid w:val="0095454E"/>
    <w:rsid w:val="009940B2"/>
    <w:rsid w:val="009D1EBD"/>
    <w:rsid w:val="00A2636B"/>
    <w:rsid w:val="00A53BC5"/>
    <w:rsid w:val="00A87F43"/>
    <w:rsid w:val="00AC237A"/>
    <w:rsid w:val="00AD3A69"/>
    <w:rsid w:val="00B1131A"/>
    <w:rsid w:val="00B13E51"/>
    <w:rsid w:val="00B21DE1"/>
    <w:rsid w:val="00B31168"/>
    <w:rsid w:val="00B46A62"/>
    <w:rsid w:val="00B64532"/>
    <w:rsid w:val="00B64C1E"/>
    <w:rsid w:val="00B96650"/>
    <w:rsid w:val="00BB4F22"/>
    <w:rsid w:val="00BF6D96"/>
    <w:rsid w:val="00C4507E"/>
    <w:rsid w:val="00C979C0"/>
    <w:rsid w:val="00CE50DA"/>
    <w:rsid w:val="00D60758"/>
    <w:rsid w:val="00D8111C"/>
    <w:rsid w:val="00E16B49"/>
    <w:rsid w:val="00E36490"/>
    <w:rsid w:val="00E62F59"/>
    <w:rsid w:val="00ED196B"/>
    <w:rsid w:val="00ED7088"/>
    <w:rsid w:val="00EE1805"/>
    <w:rsid w:val="00EF1BA8"/>
    <w:rsid w:val="00F14FC9"/>
    <w:rsid w:val="00F33EEB"/>
    <w:rsid w:val="00F55A47"/>
    <w:rsid w:val="00F87BC7"/>
    <w:rsid w:val="00FA507B"/>
    <w:rsid w:val="00FE2741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0F75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75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75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75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75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5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569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57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6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0F75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75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75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75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75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5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569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57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6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1871</Words>
  <Characters>10292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c2i niveau 1</dc:creator>
  <cp:lastModifiedBy>Patrice THEROND</cp:lastModifiedBy>
  <cp:revision>2</cp:revision>
  <cp:lastPrinted>2018-05-22T10:03:00Z</cp:lastPrinted>
  <dcterms:created xsi:type="dcterms:W3CDTF">2018-06-23T09:51:00Z</dcterms:created>
  <dcterms:modified xsi:type="dcterms:W3CDTF">2018-06-23T09:51:00Z</dcterms:modified>
</cp:coreProperties>
</file>