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39" w:rsidRDefault="00060FFB" w:rsidP="00F91A61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Commen</w:t>
      </w:r>
      <w:r w:rsidR="00F91A61">
        <w:rPr>
          <w:b/>
          <w:i/>
          <w:sz w:val="28"/>
          <w:u w:val="single"/>
        </w:rPr>
        <w:t xml:space="preserve">t organiser UNE TRAME DE </w:t>
      </w:r>
      <w:r>
        <w:rPr>
          <w:b/>
          <w:i/>
          <w:sz w:val="28"/>
          <w:u w:val="single"/>
        </w:rPr>
        <w:t>SÉQUENCE ?</w:t>
      </w: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060FFB">
      <w:pPr>
        <w:rPr>
          <w:b/>
          <w:sz w:val="28"/>
        </w:rPr>
      </w:pPr>
      <w:r>
        <w:rPr>
          <w:b/>
          <w:sz w:val="28"/>
        </w:rPr>
        <w:t xml:space="preserve">Enjeux : </w:t>
      </w:r>
    </w:p>
    <w:p w:rsidR="004B4839" w:rsidRDefault="004B4839">
      <w:pPr>
        <w:rPr>
          <w:b/>
          <w:sz w:val="28"/>
        </w:rPr>
      </w:pPr>
    </w:p>
    <w:p w:rsidR="004B4839" w:rsidRDefault="00060FFB">
      <w:r>
        <w:rPr>
          <w:b/>
          <w:sz w:val="28"/>
        </w:rPr>
        <w:t>Traduction opérationnelle du projet de formation qui permet une anticipation des choix didactiques qui devront être régulés en cours d’action…</w:t>
      </w:r>
    </w:p>
    <w:p w:rsidR="004B4839" w:rsidRDefault="004B4839">
      <w:pPr>
        <w:rPr>
          <w:b/>
          <w:sz w:val="28"/>
        </w:rPr>
      </w:pPr>
    </w:p>
    <w:p w:rsidR="004B4839" w:rsidRDefault="00060FFB">
      <w:r>
        <w:rPr>
          <w:b/>
          <w:sz w:val="28"/>
        </w:rPr>
        <w:t xml:space="preserve">A partir des choix liés à l’analyse des attendus </w:t>
      </w:r>
      <w:r>
        <w:rPr>
          <w:b/>
          <w:sz w:val="28"/>
        </w:rPr>
        <w:t>de fin de cycle, des compétences recherchées, il s’agit de choisir, de hiérarchiser et de mettre en « progressivité » les Connaissances</w:t>
      </w:r>
      <w:r w:rsidR="00F91A61">
        <w:rPr>
          <w:b/>
          <w:sz w:val="28"/>
        </w:rPr>
        <w:t xml:space="preserve"> (savoies)</w:t>
      </w:r>
      <w:r>
        <w:rPr>
          <w:b/>
          <w:sz w:val="28"/>
        </w:rPr>
        <w:t>, capacités</w:t>
      </w:r>
      <w:r w:rsidR="00F91A61">
        <w:rPr>
          <w:b/>
          <w:sz w:val="28"/>
        </w:rPr>
        <w:t xml:space="preserve"> (savoir-faire)</w:t>
      </w:r>
      <w:r>
        <w:rPr>
          <w:b/>
          <w:sz w:val="28"/>
        </w:rPr>
        <w:t xml:space="preserve"> et attitudes</w:t>
      </w:r>
      <w:r w:rsidR="00F91A61">
        <w:rPr>
          <w:b/>
          <w:sz w:val="28"/>
        </w:rPr>
        <w:t xml:space="preserve"> (savoir être)</w:t>
      </w:r>
      <w:r>
        <w:rPr>
          <w:b/>
          <w:sz w:val="28"/>
        </w:rPr>
        <w:t xml:space="preserve"> qu’il est nécessaire de mettre à l’étude, autrement dit qu’il est nécessaire que les élèves appr</w:t>
      </w:r>
      <w:r>
        <w:rPr>
          <w:b/>
          <w:sz w:val="28"/>
        </w:rPr>
        <w:t>ennent.</w:t>
      </w:r>
    </w:p>
    <w:p w:rsidR="004B4839" w:rsidRDefault="004B4839">
      <w:pPr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Cadre de fonctionnement (Organisation et FPS)</w:t>
      </w:r>
    </w:p>
    <w:p w:rsidR="004B4839" w:rsidRDefault="004B4839">
      <w:pPr>
        <w:rPr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Temporalité et redondances (répéter pour apprendre)</w:t>
      </w:r>
    </w:p>
    <w:p w:rsidR="004B4839" w:rsidRDefault="004B4839">
      <w:pPr>
        <w:pStyle w:val="Paragraphedeliste"/>
        <w:rPr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Régulation et différenciation</w:t>
      </w:r>
    </w:p>
    <w:p w:rsidR="004B4839" w:rsidRDefault="004B4839">
      <w:pPr>
        <w:rPr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Gestion difficulté et complexité d’une situation</w:t>
      </w:r>
    </w:p>
    <w:p w:rsidR="004B4839" w:rsidRDefault="004B4839">
      <w:pPr>
        <w:pStyle w:val="Paragraphedeliste"/>
        <w:rPr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Gestion de l’évaluation/ outil d’apprentissage (Formative/formatr</w:t>
      </w:r>
      <w:r>
        <w:rPr>
          <w:sz w:val="28"/>
        </w:rPr>
        <w:t>ice/ confrontation à la situation de référence ou d’évaluation</w:t>
      </w:r>
      <w:r w:rsidR="00F91A61">
        <w:rPr>
          <w:sz w:val="28"/>
        </w:rPr>
        <w:t xml:space="preserve"> </w:t>
      </w:r>
      <w:r>
        <w:rPr>
          <w:sz w:val="28"/>
        </w:rPr>
        <w:t>= se situer)</w:t>
      </w:r>
    </w:p>
    <w:p w:rsidR="004B4839" w:rsidRDefault="004B4839">
      <w:pPr>
        <w:rPr>
          <w:sz w:val="28"/>
        </w:rPr>
      </w:pPr>
    </w:p>
    <w:p w:rsidR="004B4839" w:rsidRDefault="00060FF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Gestion des formes de groupements, des rôles sociaux et des interactions sociales pour apprendre</w:t>
      </w:r>
    </w:p>
    <w:p w:rsidR="004B4839" w:rsidRDefault="004B4839">
      <w:pPr>
        <w:rPr>
          <w:b/>
          <w:sz w:val="28"/>
        </w:rPr>
      </w:pPr>
    </w:p>
    <w:p w:rsidR="004B4839" w:rsidRDefault="00060FFB">
      <w:pPr>
        <w:pStyle w:val="Paragraphedeliste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4B4839" w:rsidRDefault="00060FFB">
      <w:pPr>
        <w:pStyle w:val="Paragraphedeliste"/>
        <w:rPr>
          <w:b/>
          <w:sz w:val="28"/>
        </w:rPr>
      </w:pPr>
      <w:r>
        <w:rPr>
          <w:b/>
          <w:sz w:val="28"/>
        </w:rPr>
        <w:t>Voir un exemple développé en Badminton (ci-dessous)</w:t>
      </w: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060FFB">
      <w:pPr>
        <w:pStyle w:val="Paragraphedeliste"/>
        <w:rPr>
          <w:b/>
          <w:sz w:val="28"/>
        </w:rPr>
      </w:pPr>
      <w:r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</w:t>
      </w: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4B4839">
      <w:pPr>
        <w:pStyle w:val="Paragraphedeliste"/>
        <w:rPr>
          <w:b/>
          <w:sz w:val="28"/>
        </w:rPr>
      </w:pPr>
    </w:p>
    <w:p w:rsidR="004B4839" w:rsidRDefault="00060FFB">
      <w:pPr>
        <w:rPr>
          <w:b/>
          <w:sz w:val="28"/>
        </w:rPr>
      </w:pPr>
      <w:r>
        <w:rPr>
          <w:b/>
          <w:sz w:val="28"/>
        </w:rPr>
        <w:t xml:space="preserve">                                   Proposition de trame de cycle</w:t>
      </w:r>
    </w:p>
    <w:p w:rsidR="004B4839" w:rsidRDefault="004B4839"/>
    <w:p w:rsidR="004B4839" w:rsidRDefault="00060FFB">
      <w:pPr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0" w:color="00000A"/>
        </w:pBdr>
        <w:rPr>
          <w:b/>
          <w:sz w:val="32"/>
        </w:rPr>
      </w:pPr>
      <w:r>
        <w:rPr>
          <w:b/>
          <w:sz w:val="32"/>
        </w:rPr>
        <w:lastRenderedPageBreak/>
        <w:t xml:space="preserve">              </w:t>
      </w:r>
      <w:r w:rsidR="00F91A61">
        <w:rPr>
          <w:b/>
          <w:sz w:val="32"/>
        </w:rPr>
        <w:t xml:space="preserve"> Illustration en BAD Seconde/ Cycle Lycée</w:t>
      </w:r>
    </w:p>
    <w:p w:rsidR="004B4839" w:rsidRDefault="00060FFB">
      <w:pPr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0" w:color="00000A"/>
        </w:pBdr>
        <w:rPr>
          <w:b/>
          <w:sz w:val="32"/>
        </w:rPr>
      </w:pPr>
      <w:r>
        <w:rPr>
          <w:b/>
          <w:sz w:val="32"/>
        </w:rPr>
        <w:t>Choix d’une forme de pratique scolaire du badminton :</w:t>
      </w:r>
    </w:p>
    <w:p w:rsidR="004B4839" w:rsidRDefault="00060FFB">
      <w:pPr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0" w:color="00000A"/>
        </w:pBdr>
        <w:rPr>
          <w:b/>
          <w:sz w:val="32"/>
        </w:rPr>
      </w:pPr>
      <w:r w:rsidRPr="00BA0155">
        <w:rPr>
          <w:b/>
          <w:sz w:val="32"/>
          <w:highlight w:val="yellow"/>
        </w:rPr>
        <w:t>1x1 / Valorisation des PGD sur 4 coins en formule coupe davis</w:t>
      </w:r>
      <w:r>
        <w:rPr>
          <w:b/>
          <w:sz w:val="32"/>
        </w:rPr>
        <w:t xml:space="preserve">  </w:t>
      </w:r>
    </w:p>
    <w:p w:rsidR="004B4839" w:rsidRDefault="004B4839"/>
    <w:tbl>
      <w:tblPr>
        <w:tblStyle w:val="Grilledutableau"/>
        <w:tblW w:w="10024" w:type="dxa"/>
        <w:tblInd w:w="-749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561"/>
        <w:gridCol w:w="1271"/>
        <w:gridCol w:w="1419"/>
        <w:gridCol w:w="851"/>
        <w:gridCol w:w="1035"/>
        <w:gridCol w:w="1008"/>
        <w:gridCol w:w="717"/>
        <w:gridCol w:w="720"/>
        <w:gridCol w:w="723"/>
        <w:gridCol w:w="719"/>
      </w:tblGrid>
      <w:tr w:rsidR="004B4839" w:rsidTr="00F91A61">
        <w:tc>
          <w:tcPr>
            <w:tcW w:w="1561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F91A61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Connaissances</w:t>
            </w:r>
          </w:p>
        </w:tc>
        <w:tc>
          <w:tcPr>
            <w:tcW w:w="127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L1</w:t>
            </w:r>
          </w:p>
        </w:tc>
        <w:tc>
          <w:tcPr>
            <w:tcW w:w="85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L2</w:t>
            </w:r>
          </w:p>
        </w:tc>
        <w:tc>
          <w:tcPr>
            <w:tcW w:w="1035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L3</w:t>
            </w:r>
          </w:p>
        </w:tc>
        <w:tc>
          <w:tcPr>
            <w:tcW w:w="1008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L4</w:t>
            </w:r>
          </w:p>
        </w:tc>
        <w:tc>
          <w:tcPr>
            <w:tcW w:w="717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L5</w:t>
            </w:r>
          </w:p>
        </w:tc>
        <w:tc>
          <w:tcPr>
            <w:tcW w:w="720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L6</w:t>
            </w:r>
          </w:p>
        </w:tc>
        <w:tc>
          <w:tcPr>
            <w:tcW w:w="723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L7</w:t>
            </w:r>
          </w:p>
        </w:tc>
        <w:tc>
          <w:tcPr>
            <w:tcW w:w="719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L8</w:t>
            </w: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</w:t>
            </w:r>
            <w:r w:rsidR="00F91A61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Vocabulaire spé.</w:t>
            </w:r>
          </w:p>
        </w:tc>
        <w:tc>
          <w:tcPr>
            <w:tcW w:w="1035" w:type="dxa"/>
            <w:shd w:val="clear" w:color="auto" w:fill="FFFFFF" w:themeFill="background1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V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L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U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T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I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O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N</w:t>
            </w: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N</w:t>
            </w: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F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P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S</w:t>
            </w: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</w:t>
            </w:r>
            <w:r w:rsidR="00F91A61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2</w:t>
            </w:r>
          </w:p>
          <w:p w:rsidR="004B4839" w:rsidRDefault="00060FFB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Principe tactique</w:t>
            </w:r>
          </w:p>
        </w:tc>
        <w:tc>
          <w:tcPr>
            <w:tcW w:w="4313" w:type="dxa"/>
            <w:gridSpan w:val="4"/>
            <w:shd w:val="clear" w:color="auto" w:fill="D9D9D9" w:themeFill="background1" w:themeFillShade="D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Déborder/contre-pied</w:t>
            </w: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</w:t>
            </w:r>
            <w:r w:rsidR="00F91A61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3</w:t>
            </w:r>
          </w:p>
          <w:p w:rsidR="004B4839" w:rsidRDefault="00060FFB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SFM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3611" w:type="dxa"/>
            <w:gridSpan w:val="4"/>
            <w:shd w:val="clear" w:color="auto" w:fill="D9D9D9" w:themeFill="background1" w:themeFillShade="D9"/>
          </w:tcPr>
          <w:p w:rsidR="004B4839" w:rsidRDefault="00F91A61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Critères Situation Favorable de M</w:t>
            </w:r>
            <w:r w:rsidR="00060FFB">
              <w:rPr>
                <w:b/>
                <w:sz w:val="20"/>
              </w:rPr>
              <w:t>arque (SFM)</w:t>
            </w: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Etc…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F91A61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Capacités</w:t>
            </w: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CA1</w:t>
            </w:r>
          </w:p>
        </w:tc>
        <w:tc>
          <w:tcPr>
            <w:tcW w:w="3305" w:type="dxa"/>
            <w:gridSpan w:val="3"/>
            <w:shd w:val="clear" w:color="auto" w:fill="C6D9F1" w:themeFill="text2" w:themeFillTint="33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UTILISER UNE SFM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 xml:space="preserve">(smasher / </w:t>
            </w:r>
            <w:r>
              <w:rPr>
                <w:b/>
                <w:sz w:val="20"/>
              </w:rPr>
              <w:t>Amortir/ Dég.off/ Drive)</w:t>
            </w: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CA2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2760" w:type="dxa"/>
            <w:gridSpan w:val="3"/>
            <w:shd w:val="clear" w:color="auto" w:fill="C6D9F1" w:themeFill="text2" w:themeFillTint="33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PERCEVOIR UNE SFM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Orienter/se déplacer</w:t>
            </w: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CA3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2160" w:type="dxa"/>
            <w:gridSpan w:val="3"/>
            <w:shd w:val="clear" w:color="auto" w:fill="C6D9F1" w:themeFill="text2" w:themeFillTint="33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CREER UNE SFM</w:t>
            </w:r>
          </w:p>
        </w:tc>
        <w:tc>
          <w:tcPr>
            <w:tcW w:w="7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CA4</w:t>
            </w:r>
          </w:p>
        </w:tc>
        <w:tc>
          <w:tcPr>
            <w:tcW w:w="3305" w:type="dxa"/>
            <w:gridSpan w:val="3"/>
            <w:shd w:val="clear" w:color="auto" w:fill="B2A1C7" w:themeFill="accent4" w:themeFillTint="9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Servir pour neutraliser l’attaque adverse</w:t>
            </w:r>
          </w:p>
        </w:tc>
        <w:tc>
          <w:tcPr>
            <w:tcW w:w="3168" w:type="dxa"/>
            <w:gridSpan w:val="4"/>
            <w:shd w:val="clear" w:color="auto" w:fill="B2A1C7" w:themeFill="accent4" w:themeFillTint="9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Servir pour déséquilibrer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Etc…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Attitude</w:t>
            </w:r>
            <w:r w:rsidR="00F91A61">
              <w:rPr>
                <w:b/>
                <w:sz w:val="20"/>
              </w:rPr>
              <w:t>s</w:t>
            </w: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</w:t>
            </w:r>
            <w:r w:rsidR="00F91A61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1</w:t>
            </w:r>
          </w:p>
          <w:p w:rsidR="004B4839" w:rsidRDefault="00060FFB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Echauffement</w:t>
            </w:r>
          </w:p>
        </w:tc>
        <w:tc>
          <w:tcPr>
            <w:tcW w:w="3305" w:type="dxa"/>
            <w:gridSpan w:val="3"/>
            <w:shd w:val="clear" w:color="auto" w:fill="FABF8F" w:themeFill="accent6" w:themeFillTint="9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 xml:space="preserve">Echauf. Spé. Collectif en </w:t>
            </w:r>
            <w:r>
              <w:rPr>
                <w:b/>
                <w:sz w:val="20"/>
              </w:rPr>
              <w:t>interaction</w:t>
            </w:r>
          </w:p>
        </w:tc>
        <w:tc>
          <w:tcPr>
            <w:tcW w:w="3168" w:type="dxa"/>
            <w:gridSpan w:val="4"/>
            <w:shd w:val="clear" w:color="auto" w:fill="FABF8F" w:themeFill="accent6" w:themeFillTint="9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Echauf. Spé. par équipe</w:t>
            </w: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</w:t>
            </w:r>
            <w:r w:rsidR="00F91A61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2</w:t>
            </w:r>
          </w:p>
          <w:p w:rsidR="004B4839" w:rsidRDefault="00060FFB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Assumer les rôles</w:t>
            </w:r>
          </w:p>
        </w:tc>
        <w:tc>
          <w:tcPr>
            <w:tcW w:w="6473" w:type="dxa"/>
            <w:gridSpan w:val="7"/>
            <w:shd w:val="clear" w:color="auto" w:fill="F2DBDB" w:themeFill="accent2" w:themeFillTint="33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organisateur / arbitre</w:t>
            </w: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A</w:t>
            </w:r>
            <w:r w:rsidR="00F91A61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3168" w:type="dxa"/>
            <w:gridSpan w:val="4"/>
            <w:shd w:val="clear" w:color="auto" w:fill="F2DBDB" w:themeFill="accent2" w:themeFillTint="33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Etc…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 w:val="restart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Eval</w:t>
            </w:r>
            <w:r w:rsidR="00F91A61">
              <w:rPr>
                <w:b/>
                <w:sz w:val="20"/>
              </w:rPr>
              <w:t>uation</w:t>
            </w: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Formative</w:t>
            </w:r>
          </w:p>
        </w:tc>
        <w:tc>
          <w:tcPr>
            <w:tcW w:w="1419" w:type="dxa"/>
            <w:shd w:val="clear" w:color="auto" w:fill="CCFFCC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Diag.</w:t>
            </w: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2760" w:type="dxa"/>
            <w:gridSpan w:val="3"/>
            <w:shd w:val="clear" w:color="auto" w:fill="CCFFCC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 xml:space="preserve">Co-évaluation / crit. </w:t>
            </w:r>
            <w:r w:rsidR="00BA0155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éal</w:t>
            </w:r>
            <w:r w:rsidR="00BA0155">
              <w:rPr>
                <w:b/>
                <w:sz w:val="20"/>
              </w:rPr>
              <w:t xml:space="preserve"> fiches ou tableau</w:t>
            </w: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FPS</w:t>
            </w:r>
          </w:p>
        </w:tc>
        <w:tc>
          <w:tcPr>
            <w:tcW w:w="14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2043" w:type="dxa"/>
            <w:gridSpan w:val="2"/>
            <w:shd w:val="clear" w:color="auto" w:fill="FFFF00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FPS aménagée</w:t>
            </w: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443" w:type="dxa"/>
            <w:gridSpan w:val="2"/>
            <w:shd w:val="clear" w:color="auto" w:fill="FFFF00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FPS</w:t>
            </w:r>
            <w:r w:rsidR="00BA0155">
              <w:rPr>
                <w:b/>
                <w:sz w:val="20"/>
              </w:rPr>
              <w:t xml:space="preserve"> </w:t>
            </w: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 w:val="restart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Rôles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sociaux</w:t>
            </w: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Coach tech</w:t>
            </w:r>
            <w:r w:rsidR="00BA0155">
              <w:rPr>
                <w:b/>
                <w:sz w:val="20"/>
              </w:rPr>
              <w:t>nique</w:t>
            </w:r>
          </w:p>
        </w:tc>
        <w:tc>
          <w:tcPr>
            <w:tcW w:w="3305" w:type="dxa"/>
            <w:gridSpan w:val="3"/>
            <w:shd w:val="clear" w:color="auto" w:fill="3366FF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 xml:space="preserve">Travail en dyade (à l’intérieur des </w:t>
            </w:r>
            <w:r>
              <w:rPr>
                <w:b/>
                <w:sz w:val="20"/>
              </w:rPr>
              <w:t>équipes de double.</w:t>
            </w:r>
          </w:p>
        </w:tc>
        <w:tc>
          <w:tcPr>
            <w:tcW w:w="1008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vMerge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Coach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tact</w:t>
            </w:r>
            <w:r w:rsidR="00BA0155">
              <w:rPr>
                <w:b/>
                <w:sz w:val="20"/>
              </w:rPr>
              <w:t>ique</w:t>
            </w:r>
            <w:bookmarkStart w:id="0" w:name="_GoBack"/>
            <w:bookmarkEnd w:id="0"/>
          </w:p>
        </w:tc>
        <w:tc>
          <w:tcPr>
            <w:tcW w:w="2270" w:type="dxa"/>
            <w:gridSpan w:val="2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4203" w:type="dxa"/>
            <w:gridSpan w:val="5"/>
            <w:shd w:val="clear" w:color="auto" w:fill="B2A1C7" w:themeFill="accent4" w:themeFillTint="99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Travail au sein des équipes de coupe davis. Relation volant favorable / Efficience rupture (jeu du banco)</w:t>
            </w:r>
          </w:p>
        </w:tc>
        <w:tc>
          <w:tcPr>
            <w:tcW w:w="719" w:type="dxa"/>
            <w:shd w:val="clear" w:color="auto" w:fill="auto"/>
          </w:tcPr>
          <w:p w:rsidR="004B4839" w:rsidRDefault="004B4839">
            <w:pPr>
              <w:widowControl w:val="0"/>
              <w:rPr>
                <w:b/>
              </w:rPr>
            </w:pPr>
          </w:p>
        </w:tc>
      </w:tr>
      <w:tr w:rsidR="004B4839" w:rsidTr="00F91A61">
        <w:tc>
          <w:tcPr>
            <w:tcW w:w="156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Groupe</w:t>
            </w:r>
            <w:r w:rsidR="00F91A61">
              <w:rPr>
                <w:b/>
                <w:sz w:val="20"/>
              </w:rPr>
              <w:t>ments</w:t>
            </w:r>
          </w:p>
          <w:p w:rsidR="004B4839" w:rsidRDefault="004B4839">
            <w:pPr>
              <w:widowControl w:val="0"/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Equipe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Coupe davis</w:t>
            </w:r>
          </w:p>
        </w:tc>
        <w:tc>
          <w:tcPr>
            <w:tcW w:w="7192" w:type="dxa"/>
            <w:gridSpan w:val="8"/>
            <w:shd w:val="clear" w:color="auto" w:fill="A6A6A6" w:themeFill="background1" w:themeFillShade="A6"/>
          </w:tcPr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Equipe de 4 élèves N°1 à N°4 (hétérogènes)</w:t>
            </w:r>
          </w:p>
          <w:p w:rsidR="004B4839" w:rsidRDefault="00060FFB">
            <w:pPr>
              <w:widowControl w:val="0"/>
              <w:rPr>
                <w:b/>
              </w:rPr>
            </w:pPr>
            <w:r>
              <w:rPr>
                <w:b/>
                <w:sz w:val="20"/>
              </w:rPr>
              <w:t>+ 2 doubles 1-3 et 2-4</w:t>
            </w:r>
          </w:p>
          <w:p w:rsidR="004B4839" w:rsidRDefault="004B4839">
            <w:pPr>
              <w:widowControl w:val="0"/>
              <w:rPr>
                <w:b/>
              </w:rPr>
            </w:pPr>
          </w:p>
        </w:tc>
      </w:tr>
    </w:tbl>
    <w:p w:rsidR="004B4839" w:rsidRDefault="004B4839"/>
    <w:p w:rsidR="004B4839" w:rsidRDefault="004B4839"/>
    <w:sectPr w:rsidR="004B483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FB" w:rsidRDefault="00060FFB">
      <w:r>
        <w:separator/>
      </w:r>
    </w:p>
  </w:endnote>
  <w:endnote w:type="continuationSeparator" w:id="0">
    <w:p w:rsidR="00060FFB" w:rsidRDefault="000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39" w:rsidRDefault="00060FFB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635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8425" cy="35560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355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839" w:rsidRDefault="00060FFB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A0155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adre1" o:spid="_x0000_s1026" style="position:absolute;margin-left:-43.45pt;margin-top:.05pt;width:7.75pt;height:28pt;z-index:-503316476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" o:allowincell="f" filled="f" stroked="f" strokeweight="0">
              <v:textbox style="mso-fit-shape-to-text:t" inset="0,0,0,0">
                <w:txbxContent>
                  <w:p w:rsidR="004B4839" w:rsidRDefault="00060FFB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A0155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91A61">
      <w:tab/>
      <w:t>Outils CPI / Conception de la séquence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FB" w:rsidRDefault="00060FFB">
      <w:r>
        <w:separator/>
      </w:r>
    </w:p>
  </w:footnote>
  <w:footnote w:type="continuationSeparator" w:id="0">
    <w:p w:rsidR="00060FFB" w:rsidRDefault="0006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39" w:rsidRDefault="00F91A61">
    <w:pPr>
      <w:pStyle w:val="En-tte"/>
    </w:pPr>
    <w:r>
      <w:t>L2</w:t>
    </w:r>
    <w:r w:rsidR="00060FFB">
      <w:t xml:space="preserve"> </w:t>
    </w:r>
    <w:r>
      <w:t>EM / CPI</w:t>
    </w:r>
    <w:r>
      <w:tab/>
      <w:t>2023-2024</w:t>
    </w:r>
    <w:r w:rsidR="00060FFB">
      <w:tab/>
      <w:t>F2S Paris Saclay</w:t>
    </w:r>
  </w:p>
  <w:p w:rsidR="004B4839" w:rsidRDefault="004B48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C93"/>
    <w:multiLevelType w:val="multilevel"/>
    <w:tmpl w:val="C44E5EE8"/>
    <w:lvl w:ilvl="0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409"/>
        </w:tabs>
        <w:ind w:left="44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769"/>
        </w:tabs>
        <w:ind w:left="47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489"/>
        </w:tabs>
        <w:ind w:left="54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849"/>
        </w:tabs>
        <w:ind w:left="584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4944B3"/>
    <w:multiLevelType w:val="multilevel"/>
    <w:tmpl w:val="8E0E4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E65F5B"/>
    <w:multiLevelType w:val="multilevel"/>
    <w:tmpl w:val="EE00249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839"/>
    <w:rsid w:val="00060FFB"/>
    <w:rsid w:val="004B4839"/>
    <w:rsid w:val="00BA0155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FF1"/>
  <w15:docId w15:val="{EF12FB6C-A256-481B-A182-30646A7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26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A6726"/>
  </w:style>
  <w:style w:type="character" w:customStyle="1" w:styleId="PieddepageCar">
    <w:name w:val="Pied de page Car"/>
    <w:basedOn w:val="Policepardfaut"/>
    <w:link w:val="Pieddepage"/>
    <w:uiPriority w:val="99"/>
    <w:qFormat/>
    <w:rsid w:val="00BA6726"/>
  </w:style>
  <w:style w:type="character" w:styleId="Numrodepage">
    <w:name w:val="page number"/>
    <w:basedOn w:val="Policepardfaut"/>
    <w:uiPriority w:val="99"/>
    <w:semiHidden/>
    <w:unhideWhenUsed/>
    <w:qFormat/>
    <w:rsid w:val="00BA6726"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BA672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BA67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A672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BA67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7657F-1A02-4332-A033-F617B443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Olivier Bony</cp:lastModifiedBy>
  <cp:revision>10</cp:revision>
  <dcterms:created xsi:type="dcterms:W3CDTF">2014-11-01T15:16:00Z</dcterms:created>
  <dcterms:modified xsi:type="dcterms:W3CDTF">2024-04-04T14:58:00Z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