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97A36" w14:textId="77777777" w:rsidR="00C06615" w:rsidRDefault="00A659F4">
      <w:pPr>
        <w:spacing w:after="0" w:line="259" w:lineRule="auto"/>
        <w:ind w:left="0" w:firstLine="0"/>
        <w:jc w:val="center"/>
      </w:pPr>
      <w:r>
        <w:rPr>
          <w:b/>
          <w:color w:val="313E48"/>
          <w:sz w:val="36"/>
        </w:rPr>
        <w:t xml:space="preserve">UEL 229 </w:t>
      </w:r>
      <w:r>
        <w:rPr>
          <w:b/>
          <w:color w:val="63003C"/>
          <w:sz w:val="36"/>
        </w:rPr>
        <w:t>« Toxicologie réglementaire et vigilances »</w:t>
      </w:r>
      <w:r>
        <w:rPr>
          <w:b/>
          <w:color w:val="313E48"/>
          <w:sz w:val="36"/>
        </w:rPr>
        <w:t xml:space="preserve"> </w:t>
      </w:r>
    </w:p>
    <w:p w14:paraId="16526CBF" w14:textId="746E0AFA" w:rsidR="00C06615" w:rsidRDefault="00A659F4">
      <w:pPr>
        <w:spacing w:after="0" w:line="259" w:lineRule="auto"/>
        <w:ind w:left="0" w:right="8" w:firstLine="0"/>
        <w:jc w:val="center"/>
      </w:pPr>
      <w:r>
        <w:rPr>
          <w:b/>
          <w:color w:val="7C878F"/>
          <w:sz w:val="32"/>
        </w:rPr>
        <w:t>202</w:t>
      </w:r>
      <w:r w:rsidR="0002213B">
        <w:rPr>
          <w:b/>
          <w:color w:val="7C878F"/>
          <w:sz w:val="32"/>
        </w:rPr>
        <w:t>3</w:t>
      </w:r>
      <w:r>
        <w:rPr>
          <w:b/>
          <w:color w:val="7C878F"/>
          <w:sz w:val="32"/>
        </w:rPr>
        <w:t>-202</w:t>
      </w:r>
      <w:r w:rsidR="0002213B">
        <w:rPr>
          <w:b/>
          <w:color w:val="7C878F"/>
          <w:sz w:val="32"/>
        </w:rPr>
        <w:t>4</w:t>
      </w:r>
      <w:r>
        <w:rPr>
          <w:b/>
          <w:sz w:val="32"/>
        </w:rPr>
        <w:t xml:space="preserve"> </w:t>
      </w:r>
    </w:p>
    <w:p w14:paraId="73228A10" w14:textId="7CE49737" w:rsidR="00C06615" w:rsidRDefault="00A659F4" w:rsidP="006430CA">
      <w:pPr>
        <w:spacing w:after="0" w:line="259" w:lineRule="auto"/>
        <w:ind w:left="10" w:right="6"/>
        <w:jc w:val="center"/>
      </w:pPr>
      <w:r>
        <w:t>Responsable : Armelle BIOLA-VIDAMMENT</w:t>
      </w:r>
    </w:p>
    <w:p w14:paraId="5E8F60AE" w14:textId="57F3AA69" w:rsidR="00C06615" w:rsidRDefault="00765C07" w:rsidP="006430CA">
      <w:pPr>
        <w:spacing w:after="0" w:line="259" w:lineRule="auto"/>
        <w:ind w:left="10" w:right="6"/>
        <w:jc w:val="center"/>
      </w:pPr>
      <w:hyperlink r:id="rId4" w:history="1">
        <w:r w:rsidR="006430CA" w:rsidRPr="00677335">
          <w:rPr>
            <w:rStyle w:val="Lienhypertexte"/>
          </w:rPr>
          <w:t>armelle.biola-vidamment@universite-paris-saclay.fr</w:t>
        </w:r>
      </w:hyperlink>
    </w:p>
    <w:p w14:paraId="0D1C8D5C" w14:textId="77777777" w:rsidR="006430CA" w:rsidRDefault="006430CA" w:rsidP="006430CA">
      <w:pPr>
        <w:spacing w:after="0" w:line="259" w:lineRule="auto"/>
        <w:ind w:left="10" w:right="473"/>
        <w:jc w:val="center"/>
      </w:pPr>
    </w:p>
    <w:p w14:paraId="3D7CD84A" w14:textId="0AE6E1B2" w:rsidR="00C06615" w:rsidRPr="00205D17" w:rsidRDefault="00A659F4">
      <w:pPr>
        <w:pStyle w:val="Titre1"/>
        <w:ind w:left="-5"/>
      </w:pPr>
      <w:r w:rsidRPr="00205D17">
        <w:rPr>
          <w:rFonts w:ascii="Wingdings 3" w:eastAsia="Wingdings 3" w:hAnsi="Wingdings 3" w:cs="Wingdings 3"/>
          <w:b w:val="0"/>
          <w:color w:val="000000"/>
          <w:sz w:val="22"/>
        </w:rPr>
        <w:t></w:t>
      </w:r>
      <w:r w:rsidRPr="00205D17">
        <w:rPr>
          <w:b w:val="0"/>
          <w:color w:val="000000"/>
        </w:rPr>
        <w:t xml:space="preserve"> </w:t>
      </w:r>
      <w:r w:rsidRPr="00205D17">
        <w:t xml:space="preserve">Vendredi </w:t>
      </w:r>
      <w:r w:rsidR="0002213B" w:rsidRPr="00205D17">
        <w:t>9</w:t>
      </w:r>
      <w:r w:rsidRPr="00205D17">
        <w:t xml:space="preserve"> février 202</w:t>
      </w:r>
      <w:r w:rsidR="0002213B" w:rsidRPr="00205D17">
        <w:t>4</w:t>
      </w:r>
      <w:r w:rsidRPr="00205D17">
        <w:t xml:space="preserve"> </w:t>
      </w:r>
      <w:r w:rsidR="003B4690" w:rsidRPr="00205D17">
        <w:t xml:space="preserve">(en </w:t>
      </w:r>
      <w:proofErr w:type="spellStart"/>
      <w:r w:rsidR="003B4690" w:rsidRPr="00205D17">
        <w:t>visio</w:t>
      </w:r>
      <w:proofErr w:type="spellEnd"/>
      <w:r w:rsidR="003B4690" w:rsidRPr="00205D17">
        <w:t>)</w:t>
      </w:r>
    </w:p>
    <w:p w14:paraId="798269FE" w14:textId="42DFBB4D" w:rsidR="00C06615" w:rsidRPr="00205D17" w:rsidRDefault="00A659F4">
      <w:pPr>
        <w:spacing w:after="207"/>
        <w:ind w:left="-5" w:right="0"/>
      </w:pPr>
      <w:r w:rsidRPr="00205D17">
        <w:rPr>
          <w:b/>
          <w:color w:val="313E48"/>
        </w:rPr>
        <w:t>1</w:t>
      </w:r>
      <w:r w:rsidR="003751CA" w:rsidRPr="00205D17">
        <w:rPr>
          <w:b/>
          <w:color w:val="313E48"/>
        </w:rPr>
        <w:t>3</w:t>
      </w:r>
      <w:r w:rsidRPr="00205D17">
        <w:rPr>
          <w:b/>
          <w:color w:val="313E48"/>
        </w:rPr>
        <w:t>h</w:t>
      </w:r>
      <w:r w:rsidR="003751CA" w:rsidRPr="00205D17">
        <w:rPr>
          <w:b/>
          <w:color w:val="313E48"/>
        </w:rPr>
        <w:t>30</w:t>
      </w:r>
      <w:r w:rsidRPr="00205D17">
        <w:rPr>
          <w:b/>
          <w:color w:val="313E48"/>
        </w:rPr>
        <w:t>-1</w:t>
      </w:r>
      <w:r w:rsidR="003751CA" w:rsidRPr="00205D17">
        <w:rPr>
          <w:b/>
          <w:color w:val="313E48"/>
        </w:rPr>
        <w:t>5</w:t>
      </w:r>
      <w:r w:rsidRPr="00205D17">
        <w:rPr>
          <w:b/>
          <w:color w:val="313E48"/>
        </w:rPr>
        <w:t>h</w:t>
      </w:r>
      <w:r w:rsidR="00AB67D0" w:rsidRPr="00205D17">
        <w:rPr>
          <w:b/>
          <w:color w:val="313E48"/>
        </w:rPr>
        <w:t>30</w:t>
      </w:r>
      <w:r w:rsidRPr="00205D17">
        <w:rPr>
          <w:b/>
          <w:color w:val="313E48"/>
        </w:rPr>
        <w:t xml:space="preserve"> </w:t>
      </w:r>
      <w:r w:rsidRPr="00205D17">
        <w:t xml:space="preserve">Organisation de la pharmacovigilance en France et en Europe (Annabelle Page, Pôle sécurisation, direction de la surveillance et Malak Abou </w:t>
      </w:r>
      <w:proofErr w:type="spellStart"/>
      <w:r w:rsidRPr="00205D17">
        <w:t>Taam</w:t>
      </w:r>
      <w:proofErr w:type="spellEnd"/>
      <w:r w:rsidRPr="00205D17">
        <w:t xml:space="preserve">, Cheffe de Pôle, Direction Médicale Médicament 2, ANSM). </w:t>
      </w:r>
    </w:p>
    <w:p w14:paraId="6F666658" w14:textId="49FF6577" w:rsidR="003751CA" w:rsidRPr="00205D17" w:rsidRDefault="003751CA" w:rsidP="003751CA">
      <w:pPr>
        <w:ind w:left="-5" w:right="0"/>
      </w:pPr>
      <w:r w:rsidRPr="00205D17">
        <w:rPr>
          <w:b/>
          <w:color w:val="313E48"/>
        </w:rPr>
        <w:t>15h</w:t>
      </w:r>
      <w:r w:rsidR="00AB67D0" w:rsidRPr="00205D17">
        <w:rPr>
          <w:b/>
          <w:color w:val="313E48"/>
        </w:rPr>
        <w:t>4</w:t>
      </w:r>
      <w:r w:rsidRPr="00205D17">
        <w:rPr>
          <w:b/>
          <w:color w:val="313E48"/>
        </w:rPr>
        <w:t>5-17h</w:t>
      </w:r>
      <w:r w:rsidR="001F3E67" w:rsidRPr="00205D17">
        <w:rPr>
          <w:b/>
          <w:color w:val="313E48"/>
        </w:rPr>
        <w:t>4</w:t>
      </w:r>
      <w:r w:rsidRPr="00205D17">
        <w:rPr>
          <w:b/>
          <w:color w:val="313E48"/>
        </w:rPr>
        <w:t>5</w:t>
      </w:r>
      <w:r w:rsidRPr="00205D17">
        <w:rPr>
          <w:color w:val="313E48"/>
        </w:rPr>
        <w:t xml:space="preserve"> </w:t>
      </w:r>
      <w:r w:rsidR="001F3E67" w:rsidRPr="00205D17">
        <w:t>Présentation de la</w:t>
      </w:r>
      <w:r w:rsidR="001F3E67" w:rsidRPr="00205D17">
        <w:rPr>
          <w:b/>
        </w:rPr>
        <w:t xml:space="preserve"> </w:t>
      </w:r>
      <w:r w:rsidR="001F3E67" w:rsidRPr="00205D17">
        <w:t xml:space="preserve">cosmétovigilance, cas pratiques (Violaine </w:t>
      </w:r>
      <w:proofErr w:type="spellStart"/>
      <w:r w:rsidR="001F3E67" w:rsidRPr="00205D17">
        <w:t>Blandamour</w:t>
      </w:r>
      <w:proofErr w:type="spellEnd"/>
      <w:r w:rsidR="001F3E67" w:rsidRPr="00205D17">
        <w:t>, responsable Vigilances, Laboratoires Gilbert)</w:t>
      </w:r>
      <w:r w:rsidR="001F3E67" w:rsidRPr="00205D17">
        <w:rPr>
          <w:b/>
        </w:rPr>
        <w:t>.</w:t>
      </w:r>
      <w:r w:rsidRPr="00205D17">
        <w:rPr>
          <w:b/>
        </w:rPr>
        <w:t xml:space="preserve"> </w:t>
      </w:r>
    </w:p>
    <w:p w14:paraId="163D6359" w14:textId="0DC49F62" w:rsidR="00C06615" w:rsidRPr="00205D17" w:rsidRDefault="00A659F4">
      <w:pPr>
        <w:pStyle w:val="Titre1"/>
        <w:ind w:left="-5"/>
      </w:pPr>
      <w:r w:rsidRPr="00205D17">
        <w:rPr>
          <w:rFonts w:ascii="Wingdings 3" w:eastAsia="Wingdings 3" w:hAnsi="Wingdings 3" w:cs="Wingdings 3"/>
          <w:b w:val="0"/>
          <w:color w:val="000000"/>
          <w:sz w:val="22"/>
        </w:rPr>
        <w:t></w:t>
      </w:r>
      <w:r w:rsidRPr="00205D17">
        <w:rPr>
          <w:b w:val="0"/>
          <w:color w:val="000000"/>
        </w:rPr>
        <w:t xml:space="preserve"> </w:t>
      </w:r>
      <w:r w:rsidRPr="00205D17">
        <w:t>Vendredi 1</w:t>
      </w:r>
      <w:r w:rsidR="0002213B" w:rsidRPr="00205D17">
        <w:t>6</w:t>
      </w:r>
      <w:r w:rsidRPr="00205D17">
        <w:t xml:space="preserve"> février 202</w:t>
      </w:r>
      <w:r w:rsidR="0002213B" w:rsidRPr="00205D17">
        <w:t>4</w:t>
      </w:r>
      <w:r w:rsidR="00024489">
        <w:t xml:space="preserve"> – salle 1407</w:t>
      </w:r>
    </w:p>
    <w:p w14:paraId="1B8722EA" w14:textId="55C8E662" w:rsidR="00B22835" w:rsidRPr="00205D17" w:rsidRDefault="00B22835" w:rsidP="00B22835">
      <w:pPr>
        <w:spacing w:after="8"/>
        <w:ind w:left="-5" w:right="0"/>
      </w:pPr>
      <w:r w:rsidRPr="00205D17">
        <w:rPr>
          <w:noProof/>
        </w:rPr>
        <w:drawing>
          <wp:anchor distT="0" distB="0" distL="114300" distR="114300" simplePos="0" relativeHeight="251659264" behindDoc="0" locked="0" layoutInCell="1" allowOverlap="0" wp14:anchorId="5509C715" wp14:editId="4990DF07">
            <wp:simplePos x="0" y="0"/>
            <wp:positionH relativeFrom="page">
              <wp:posOffset>104775</wp:posOffset>
            </wp:positionH>
            <wp:positionV relativeFrom="page">
              <wp:posOffset>0</wp:posOffset>
            </wp:positionV>
            <wp:extent cx="1257300" cy="1207770"/>
            <wp:effectExtent l="0" t="0" r="0" b="0"/>
            <wp:wrapSquare wrapText="bothSides"/>
            <wp:docPr id="302" name="Picture 302" descr="Une image contenant texte, Police, Graphique, capture d’écran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Picture 302" descr="Une image contenant texte, Police, Graphique, capture d’écran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5D17">
        <w:rPr>
          <w:b/>
          <w:color w:val="313E48"/>
        </w:rPr>
        <w:t xml:space="preserve">14h-18h </w:t>
      </w:r>
      <w:r w:rsidRPr="00205D17">
        <w:t>Evaluation réglementaire en toxicologie, études de toxicologie réitérée, doses sans effet : cours et cas pratiques (Armelle Biola-Vidamment).</w:t>
      </w:r>
      <w:r w:rsidRPr="00205D17">
        <w:rPr>
          <w:b/>
          <w:color w:val="365F91"/>
        </w:rPr>
        <w:t xml:space="preserve">  </w:t>
      </w:r>
    </w:p>
    <w:p w14:paraId="2A53344A" w14:textId="77777777" w:rsidR="00B22835" w:rsidRPr="00205D17" w:rsidRDefault="00B22835" w:rsidP="00B22835">
      <w:pPr>
        <w:ind w:left="-5" w:right="0"/>
      </w:pPr>
      <w:r w:rsidRPr="00205D17">
        <w:t xml:space="preserve">Présentation des formations et métiers en toxicologie. Questions/réponses. </w:t>
      </w:r>
    </w:p>
    <w:p w14:paraId="18D385E4" w14:textId="3AFC4006" w:rsidR="00C06615" w:rsidRPr="00205D17" w:rsidRDefault="00A659F4">
      <w:pPr>
        <w:pStyle w:val="Titre1"/>
        <w:spacing w:after="243"/>
        <w:ind w:left="-5"/>
      </w:pPr>
      <w:r w:rsidRPr="00205D17">
        <w:rPr>
          <w:rFonts w:ascii="Wingdings 3" w:eastAsia="Wingdings 3" w:hAnsi="Wingdings 3" w:cs="Wingdings 3"/>
          <w:b w:val="0"/>
          <w:color w:val="000000"/>
          <w:sz w:val="22"/>
        </w:rPr>
        <w:t></w:t>
      </w:r>
      <w:r w:rsidRPr="00205D17">
        <w:rPr>
          <w:b w:val="0"/>
          <w:color w:val="000000"/>
        </w:rPr>
        <w:t xml:space="preserve"> </w:t>
      </w:r>
      <w:r w:rsidRPr="00205D17">
        <w:t>Vendredi 2</w:t>
      </w:r>
      <w:r w:rsidR="0002213B" w:rsidRPr="00205D17">
        <w:t>3</w:t>
      </w:r>
      <w:r w:rsidRPr="00205D17">
        <w:t xml:space="preserve"> février 202</w:t>
      </w:r>
      <w:r w:rsidR="0002213B" w:rsidRPr="00205D17">
        <w:t>4</w:t>
      </w:r>
      <w:r w:rsidR="00024489">
        <w:t xml:space="preserve"> – salle 1407</w:t>
      </w:r>
    </w:p>
    <w:p w14:paraId="5D4F0876" w14:textId="15FFF059" w:rsidR="00AE77E3" w:rsidRPr="00205D17" w:rsidRDefault="00AE77E3" w:rsidP="00AE77E3">
      <w:pPr>
        <w:spacing w:after="0"/>
        <w:ind w:left="-5" w:right="0"/>
      </w:pPr>
      <w:r w:rsidRPr="00205D17">
        <w:rPr>
          <w:b/>
          <w:color w:val="313E48"/>
        </w:rPr>
        <w:t>1</w:t>
      </w:r>
      <w:r w:rsidR="003B4690" w:rsidRPr="00205D17">
        <w:rPr>
          <w:b/>
          <w:color w:val="313E48"/>
        </w:rPr>
        <w:t>4h</w:t>
      </w:r>
      <w:r w:rsidRPr="00205D17">
        <w:rPr>
          <w:b/>
          <w:color w:val="313E48"/>
        </w:rPr>
        <w:t>-1</w:t>
      </w:r>
      <w:r w:rsidR="003B4690" w:rsidRPr="00205D17">
        <w:rPr>
          <w:b/>
          <w:color w:val="313E48"/>
        </w:rPr>
        <w:t>7h</w:t>
      </w:r>
      <w:r w:rsidRPr="00205D17">
        <w:rPr>
          <w:b/>
          <w:color w:val="313E48"/>
        </w:rPr>
        <w:t xml:space="preserve"> </w:t>
      </w:r>
      <w:r w:rsidRPr="00205D17">
        <w:t xml:space="preserve">Evaluation de la sécurité pour la santé humaine des produits cosmétiques : ingrédients, produits finis (Fanny </w:t>
      </w:r>
      <w:proofErr w:type="spellStart"/>
      <w:r w:rsidRPr="00205D17">
        <w:t>Boislève</w:t>
      </w:r>
      <w:proofErr w:type="spellEnd"/>
      <w:r w:rsidRPr="00205D17">
        <w:t xml:space="preserve">, </w:t>
      </w:r>
      <w:proofErr w:type="spellStart"/>
      <w:r w:rsidRPr="00205D17">
        <w:t>Safety</w:t>
      </w:r>
      <w:proofErr w:type="spellEnd"/>
      <w:r w:rsidRPr="00205D17">
        <w:t xml:space="preserve"> </w:t>
      </w:r>
      <w:proofErr w:type="spellStart"/>
      <w:r w:rsidRPr="00205D17">
        <w:t>assessor</w:t>
      </w:r>
      <w:proofErr w:type="spellEnd"/>
      <w:r w:rsidRPr="00205D17">
        <w:t xml:space="preserve">, Chanel parfums). </w:t>
      </w:r>
    </w:p>
    <w:p w14:paraId="30F5CC04" w14:textId="77777777" w:rsidR="001F3E67" w:rsidRPr="00205D17" w:rsidRDefault="001F3E67" w:rsidP="001F3E67">
      <w:pPr>
        <w:spacing w:after="0"/>
        <w:ind w:left="-5" w:right="0"/>
        <w:rPr>
          <w:b/>
          <w:color w:val="313E48"/>
        </w:rPr>
      </w:pPr>
    </w:p>
    <w:p w14:paraId="49FBBB7D" w14:textId="49CD083B" w:rsidR="00C06615" w:rsidRPr="00205D17" w:rsidRDefault="00A659F4">
      <w:pPr>
        <w:pStyle w:val="Titre1"/>
        <w:ind w:left="-5"/>
      </w:pPr>
      <w:r w:rsidRPr="00205D17">
        <w:rPr>
          <w:rFonts w:ascii="Wingdings 3" w:eastAsia="Wingdings 3" w:hAnsi="Wingdings 3" w:cs="Wingdings 3"/>
          <w:b w:val="0"/>
          <w:color w:val="000000"/>
          <w:sz w:val="22"/>
        </w:rPr>
        <w:t></w:t>
      </w:r>
      <w:r w:rsidRPr="00205D17">
        <w:rPr>
          <w:b w:val="0"/>
          <w:color w:val="000000"/>
        </w:rPr>
        <w:t xml:space="preserve"> </w:t>
      </w:r>
      <w:r w:rsidRPr="00205D17">
        <w:t xml:space="preserve">Vendredi </w:t>
      </w:r>
      <w:r w:rsidR="0002213B" w:rsidRPr="00205D17">
        <w:t>1</w:t>
      </w:r>
      <w:r w:rsidRPr="00205D17">
        <w:t xml:space="preserve"> mars 202</w:t>
      </w:r>
      <w:r w:rsidR="0002213B" w:rsidRPr="00205D17">
        <w:t>4</w:t>
      </w:r>
      <w:r w:rsidR="00024489">
        <w:t xml:space="preserve"> – salle 2410</w:t>
      </w:r>
    </w:p>
    <w:p w14:paraId="59549003" w14:textId="625205D3" w:rsidR="00C06615" w:rsidRPr="00205D17" w:rsidRDefault="003B4690">
      <w:pPr>
        <w:spacing w:after="259" w:line="239" w:lineRule="auto"/>
        <w:ind w:left="0" w:right="2" w:firstLine="0"/>
      </w:pPr>
      <w:r w:rsidRPr="00205D17">
        <w:rPr>
          <w:b/>
          <w:color w:val="313E48"/>
        </w:rPr>
        <w:t>14h</w:t>
      </w:r>
      <w:r w:rsidR="00A659F4" w:rsidRPr="00205D17">
        <w:rPr>
          <w:b/>
          <w:color w:val="313E48"/>
        </w:rPr>
        <w:t xml:space="preserve">-17h </w:t>
      </w:r>
      <w:r w:rsidR="00A659F4" w:rsidRPr="00205D17">
        <w:t xml:space="preserve">Principes de la notification, de l’identification et de l’évaluation des effets indésirables, méthodes de génération de signaux et d’investigation d’une alerte. Plan de gestion de risques. Exemples d’illustration (Morgane Petitpas, </w:t>
      </w:r>
      <w:r w:rsidR="00B22835" w:rsidRPr="00205D17">
        <w:t>Air Liquide</w:t>
      </w:r>
      <w:r w:rsidR="00A659F4" w:rsidRPr="00205D17">
        <w:t xml:space="preserve">). </w:t>
      </w:r>
    </w:p>
    <w:p w14:paraId="1C25A89F" w14:textId="6CBFCBCB" w:rsidR="00C06615" w:rsidRPr="00205D17" w:rsidRDefault="00A659F4">
      <w:pPr>
        <w:pStyle w:val="Titre1"/>
        <w:ind w:left="-5"/>
      </w:pPr>
      <w:r w:rsidRPr="00205D17">
        <w:rPr>
          <w:rFonts w:ascii="Wingdings 3" w:eastAsia="Wingdings 3" w:hAnsi="Wingdings 3" w:cs="Wingdings 3"/>
          <w:b w:val="0"/>
          <w:color w:val="000000"/>
          <w:sz w:val="22"/>
        </w:rPr>
        <w:t></w:t>
      </w:r>
      <w:r w:rsidRPr="00205D17">
        <w:rPr>
          <w:b w:val="0"/>
          <w:color w:val="000000"/>
        </w:rPr>
        <w:t xml:space="preserve"> </w:t>
      </w:r>
      <w:r w:rsidRPr="00205D17">
        <w:t xml:space="preserve">Vendredi </w:t>
      </w:r>
      <w:r w:rsidR="0002213B" w:rsidRPr="00205D17">
        <w:t>8</w:t>
      </w:r>
      <w:r w:rsidRPr="00205D17">
        <w:t xml:space="preserve"> mars 202</w:t>
      </w:r>
      <w:r w:rsidR="0002213B" w:rsidRPr="00205D17">
        <w:t>4</w:t>
      </w:r>
      <w:r w:rsidR="00024489">
        <w:t xml:space="preserve"> – salle 1407</w:t>
      </w:r>
    </w:p>
    <w:p w14:paraId="58F00A5B" w14:textId="77777777" w:rsidR="00AE77E3" w:rsidRPr="00205D17" w:rsidRDefault="00AE77E3" w:rsidP="00AE77E3">
      <w:pPr>
        <w:spacing w:after="207"/>
        <w:ind w:left="-5" w:right="0"/>
      </w:pPr>
      <w:r w:rsidRPr="00205D17">
        <w:rPr>
          <w:b/>
          <w:color w:val="313E48"/>
        </w:rPr>
        <w:t xml:space="preserve">13h30-16h </w:t>
      </w:r>
      <w:r w:rsidRPr="00205D17">
        <w:t xml:space="preserve">Evaluation de la sécurité des dispositifs médicaux, normes ISO 10-993, notions de biocompatibilité (Béatrice Baudot Vadez, </w:t>
      </w:r>
      <w:proofErr w:type="spellStart"/>
      <w:r w:rsidRPr="00205D17">
        <w:t>Urgo</w:t>
      </w:r>
      <w:proofErr w:type="spellEnd"/>
      <w:r w:rsidRPr="00205D17">
        <w:t xml:space="preserve"> Recherche Innovation et Développement).  </w:t>
      </w:r>
    </w:p>
    <w:p w14:paraId="62DF5D5C" w14:textId="77777777" w:rsidR="00AE77E3" w:rsidRPr="00205D17" w:rsidRDefault="00AE77E3" w:rsidP="00AE77E3">
      <w:pPr>
        <w:ind w:left="-5" w:right="0"/>
      </w:pPr>
      <w:r w:rsidRPr="00205D17">
        <w:rPr>
          <w:b/>
          <w:color w:val="313E48"/>
        </w:rPr>
        <w:t>16h15-17h45</w:t>
      </w:r>
      <w:r w:rsidRPr="00205D17">
        <w:rPr>
          <w:color w:val="313E48"/>
        </w:rPr>
        <w:t xml:space="preserve"> </w:t>
      </w:r>
      <w:r w:rsidRPr="00205D17">
        <w:t xml:space="preserve">Présentation de la matériovigilance, nouvelle réglementation, exemples pratiques (Quentin </w:t>
      </w:r>
      <w:proofErr w:type="spellStart"/>
      <w:r w:rsidRPr="00205D17">
        <w:t>Wilmouth</w:t>
      </w:r>
      <w:proofErr w:type="spellEnd"/>
      <w:r w:rsidRPr="00205D17">
        <w:t xml:space="preserve">, </w:t>
      </w:r>
      <w:proofErr w:type="spellStart"/>
      <w:r w:rsidRPr="00205D17">
        <w:t>Recordati</w:t>
      </w:r>
      <w:proofErr w:type="spellEnd"/>
      <w:r w:rsidRPr="00205D17">
        <w:t xml:space="preserve">) </w:t>
      </w:r>
    </w:p>
    <w:p w14:paraId="482E1BF4" w14:textId="22856AB2" w:rsidR="00C06615" w:rsidRPr="00205D17" w:rsidRDefault="00A659F4">
      <w:pPr>
        <w:pStyle w:val="Titre1"/>
        <w:ind w:left="-5"/>
      </w:pPr>
      <w:r w:rsidRPr="00205D17">
        <w:rPr>
          <w:rFonts w:ascii="Wingdings 3" w:eastAsia="Wingdings 3" w:hAnsi="Wingdings 3" w:cs="Wingdings 3"/>
          <w:b w:val="0"/>
          <w:color w:val="000000"/>
          <w:sz w:val="22"/>
        </w:rPr>
        <w:t></w:t>
      </w:r>
      <w:r w:rsidRPr="00205D17">
        <w:rPr>
          <w:b w:val="0"/>
          <w:color w:val="000000"/>
        </w:rPr>
        <w:t xml:space="preserve"> </w:t>
      </w:r>
      <w:r w:rsidRPr="00205D17">
        <w:t>Vendredi 1</w:t>
      </w:r>
      <w:r w:rsidR="0002213B" w:rsidRPr="00205D17">
        <w:t>5</w:t>
      </w:r>
      <w:r w:rsidRPr="00205D17">
        <w:t xml:space="preserve"> mars 202</w:t>
      </w:r>
      <w:r w:rsidR="0002213B" w:rsidRPr="00205D17">
        <w:t>4</w:t>
      </w:r>
      <w:r w:rsidR="00024489">
        <w:t xml:space="preserve"> – salle 2410</w:t>
      </w:r>
      <w:bookmarkStart w:id="0" w:name="_GoBack"/>
      <w:bookmarkEnd w:id="0"/>
    </w:p>
    <w:p w14:paraId="722E8541" w14:textId="6BF5305F" w:rsidR="00AE77E3" w:rsidRPr="00205D17" w:rsidRDefault="00AE77E3" w:rsidP="00AE77E3">
      <w:pPr>
        <w:spacing w:after="207"/>
        <w:ind w:left="-5" w:right="0"/>
      </w:pPr>
      <w:r w:rsidRPr="00205D17">
        <w:rPr>
          <w:b/>
          <w:color w:val="313E48"/>
        </w:rPr>
        <w:t xml:space="preserve">14h-16h </w:t>
      </w:r>
      <w:r w:rsidRPr="00205D17">
        <w:t xml:space="preserve">Evaluation réglementaire en toxicologie, cas des anticorps monoclonaux. Cas pratiques (Henri </w:t>
      </w:r>
      <w:proofErr w:type="spellStart"/>
      <w:r w:rsidRPr="00205D17">
        <w:t>Caplain</w:t>
      </w:r>
      <w:proofErr w:type="spellEnd"/>
      <w:r w:rsidRPr="00205D17">
        <w:t xml:space="preserve">, expert en management du risque). </w:t>
      </w:r>
    </w:p>
    <w:p w14:paraId="384DA8F8" w14:textId="28FD67CE" w:rsidR="003B4690" w:rsidRPr="00205D17" w:rsidRDefault="001F1E28" w:rsidP="003B4690">
      <w:pPr>
        <w:spacing w:after="0"/>
        <w:ind w:left="-5" w:right="0"/>
      </w:pPr>
      <w:r w:rsidRPr="00205D17">
        <w:rPr>
          <w:b/>
          <w:bCs/>
        </w:rPr>
        <w:t>16h15-17h45</w:t>
      </w:r>
      <w:r w:rsidRPr="00205D17">
        <w:t xml:space="preserve"> </w:t>
      </w:r>
      <w:r w:rsidR="003B4690" w:rsidRPr="00205D17">
        <w:t xml:space="preserve">Etudes de pharmaco-épidémiologie (Henri </w:t>
      </w:r>
      <w:proofErr w:type="spellStart"/>
      <w:r w:rsidR="003B4690" w:rsidRPr="00205D17">
        <w:t>caplain</w:t>
      </w:r>
      <w:proofErr w:type="spellEnd"/>
      <w:r w:rsidR="003B4690" w:rsidRPr="00205D17">
        <w:t>).</w:t>
      </w:r>
    </w:p>
    <w:p w14:paraId="1DA1B64E" w14:textId="7DBAFE7A" w:rsidR="00C06615" w:rsidRPr="00205D17" w:rsidRDefault="00C06615">
      <w:pPr>
        <w:spacing w:after="0" w:line="259" w:lineRule="auto"/>
        <w:ind w:left="0" w:right="0" w:firstLine="0"/>
        <w:jc w:val="left"/>
      </w:pPr>
    </w:p>
    <w:p w14:paraId="5FDB9178" w14:textId="5135FE62" w:rsidR="00C06615" w:rsidRPr="00205D17" w:rsidRDefault="00A659F4">
      <w:pPr>
        <w:pStyle w:val="Titre1"/>
        <w:ind w:left="-5"/>
      </w:pPr>
      <w:r w:rsidRPr="00205D17">
        <w:rPr>
          <w:rFonts w:ascii="Wingdings 3" w:eastAsia="Wingdings 3" w:hAnsi="Wingdings 3" w:cs="Wingdings 3"/>
          <w:b w:val="0"/>
          <w:color w:val="000000"/>
          <w:sz w:val="22"/>
        </w:rPr>
        <w:t></w:t>
      </w:r>
      <w:r w:rsidRPr="00205D17">
        <w:rPr>
          <w:b w:val="0"/>
          <w:color w:val="000000"/>
        </w:rPr>
        <w:t xml:space="preserve"> </w:t>
      </w:r>
      <w:r w:rsidRPr="00205D17">
        <w:t>Jeudi</w:t>
      </w:r>
      <w:r w:rsidRPr="00205D17">
        <w:rPr>
          <w:b w:val="0"/>
        </w:rPr>
        <w:t xml:space="preserve"> </w:t>
      </w:r>
      <w:r w:rsidRPr="00205D17">
        <w:t>2</w:t>
      </w:r>
      <w:r w:rsidR="0002213B" w:rsidRPr="00205D17">
        <w:t>1</w:t>
      </w:r>
      <w:r w:rsidRPr="00205D17">
        <w:t xml:space="preserve"> ou vendredi 2</w:t>
      </w:r>
      <w:r w:rsidR="0002213B" w:rsidRPr="00205D17">
        <w:t>2</w:t>
      </w:r>
      <w:r w:rsidRPr="00205D17">
        <w:t xml:space="preserve"> mars 202</w:t>
      </w:r>
      <w:r w:rsidR="0002213B" w:rsidRPr="00205D17">
        <w:t>4</w:t>
      </w:r>
      <w:r w:rsidRPr="00205D17">
        <w:rPr>
          <w:color w:val="1F497D"/>
        </w:rPr>
        <w:t xml:space="preserve"> </w:t>
      </w:r>
    </w:p>
    <w:p w14:paraId="05689F36" w14:textId="77777777" w:rsidR="00C06615" w:rsidRDefault="00A659F4">
      <w:pPr>
        <w:spacing w:after="0" w:line="259" w:lineRule="auto"/>
        <w:ind w:left="0" w:right="0" w:firstLine="0"/>
        <w:jc w:val="left"/>
      </w:pPr>
      <w:r w:rsidRPr="00205D17">
        <w:rPr>
          <w:b/>
          <w:color w:val="313E48"/>
        </w:rPr>
        <w:t>14h-15h</w:t>
      </w:r>
      <w:r w:rsidRPr="00205D17">
        <w:rPr>
          <w:color w:val="313E48"/>
        </w:rPr>
        <w:t xml:space="preserve"> </w:t>
      </w:r>
      <w:r w:rsidRPr="00205D17">
        <w:t>Examen</w:t>
      </w:r>
      <w:r>
        <w:rPr>
          <w:sz w:val="24"/>
        </w:rPr>
        <w:t xml:space="preserve"> </w:t>
      </w:r>
    </w:p>
    <w:sectPr w:rsidR="00C06615">
      <w:pgSz w:w="11906" w:h="16838"/>
      <w:pgMar w:top="1440" w:right="1412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615"/>
    <w:rsid w:val="0002213B"/>
    <w:rsid w:val="00024489"/>
    <w:rsid w:val="000915EB"/>
    <w:rsid w:val="000D5571"/>
    <w:rsid w:val="001F1E28"/>
    <w:rsid w:val="001F3E67"/>
    <w:rsid w:val="00205D17"/>
    <w:rsid w:val="003751CA"/>
    <w:rsid w:val="003B4690"/>
    <w:rsid w:val="0049195E"/>
    <w:rsid w:val="006430CA"/>
    <w:rsid w:val="007429C3"/>
    <w:rsid w:val="00765C07"/>
    <w:rsid w:val="00855D4E"/>
    <w:rsid w:val="00A659F4"/>
    <w:rsid w:val="00AB67D0"/>
    <w:rsid w:val="00AE77E3"/>
    <w:rsid w:val="00B22835"/>
    <w:rsid w:val="00C06615"/>
    <w:rsid w:val="00CF6BFA"/>
    <w:rsid w:val="00E0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A1A71"/>
  <w15:docId w15:val="{C3CEF040-80B8-46FE-816F-093C92C0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30" w:line="267" w:lineRule="auto"/>
      <w:ind w:left="774" w:right="3" w:hanging="10"/>
      <w:jc w:val="both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1"/>
      <w:ind w:left="10" w:hanging="10"/>
      <w:outlineLvl w:val="0"/>
    </w:pPr>
    <w:rPr>
      <w:rFonts w:ascii="Calibri" w:eastAsia="Calibri" w:hAnsi="Calibri" w:cs="Calibri"/>
      <w:b/>
      <w:color w:val="63003C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63003C"/>
      <w:sz w:val="24"/>
    </w:rPr>
  </w:style>
  <w:style w:type="character" w:styleId="Lienhypertexte">
    <w:name w:val="Hyperlink"/>
    <w:basedOn w:val="Policepardfaut"/>
    <w:uiPriority w:val="99"/>
    <w:unhideWhenUsed/>
    <w:rsid w:val="006430C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3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armelle.biola-vidamment@universite-paris-saclay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</dc:creator>
  <cp:keywords/>
  <cp:lastModifiedBy>Samuel Costantin</cp:lastModifiedBy>
  <cp:revision>2</cp:revision>
  <cp:lastPrinted>2023-12-06T18:16:00Z</cp:lastPrinted>
  <dcterms:created xsi:type="dcterms:W3CDTF">2024-01-23T21:07:00Z</dcterms:created>
  <dcterms:modified xsi:type="dcterms:W3CDTF">2024-01-23T21:07:00Z</dcterms:modified>
</cp:coreProperties>
</file>