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399" w:rsidRDefault="00573399" w:rsidP="00573399">
      <w:pPr>
        <w:autoSpaceDE w:val="0"/>
        <w:autoSpaceDN w:val="0"/>
        <w:adjustRightInd w:val="0"/>
        <w:jc w:val="both"/>
        <w:rPr>
          <w:b/>
          <w:bCs/>
          <w:szCs w:val="20"/>
        </w:rPr>
      </w:pPr>
      <w:r>
        <w:rPr>
          <w:b/>
          <w:bCs/>
          <w:szCs w:val="20"/>
        </w:rPr>
        <w:t xml:space="preserve">Exam J-P </w:t>
      </w:r>
      <w:proofErr w:type="spellStart"/>
      <w:r>
        <w:rPr>
          <w:b/>
          <w:bCs/>
          <w:szCs w:val="20"/>
        </w:rPr>
        <w:t>Mahy</w:t>
      </w:r>
      <w:proofErr w:type="spellEnd"/>
      <w:r w:rsidRPr="00DD2685">
        <w:rPr>
          <w:b/>
          <w:bCs/>
          <w:szCs w:val="20"/>
        </w:rPr>
        <w:t xml:space="preserve">. </w:t>
      </w:r>
    </w:p>
    <w:p w:rsidR="00573399" w:rsidRDefault="00573399" w:rsidP="00573399">
      <w:pPr>
        <w:autoSpaceDE w:val="0"/>
        <w:autoSpaceDN w:val="0"/>
        <w:adjustRightInd w:val="0"/>
        <w:jc w:val="both"/>
        <w:rPr>
          <w:b/>
          <w:bCs/>
          <w:szCs w:val="20"/>
        </w:rPr>
      </w:pPr>
    </w:p>
    <w:p w:rsidR="00573399" w:rsidRPr="00DD2685" w:rsidRDefault="00573399" w:rsidP="00573399">
      <w:pPr>
        <w:autoSpaceDE w:val="0"/>
        <w:autoSpaceDN w:val="0"/>
        <w:adjustRightInd w:val="0"/>
        <w:jc w:val="both"/>
        <w:rPr>
          <w:b/>
          <w:bCs/>
          <w:szCs w:val="20"/>
        </w:rPr>
      </w:pPr>
      <w:r w:rsidRPr="00DD2685">
        <w:rPr>
          <w:b/>
          <w:bCs/>
          <w:szCs w:val="20"/>
        </w:rPr>
        <w:t xml:space="preserve">Stéréochimie et mécanisme de la </w:t>
      </w:r>
      <w:proofErr w:type="spellStart"/>
      <w:r w:rsidRPr="00DD2685">
        <w:rPr>
          <w:b/>
          <w:bCs/>
          <w:szCs w:val="20"/>
        </w:rPr>
        <w:t>butyryl-CoA</w:t>
      </w:r>
      <w:proofErr w:type="spellEnd"/>
      <w:r w:rsidRPr="00DD2685">
        <w:rPr>
          <w:b/>
          <w:bCs/>
          <w:szCs w:val="20"/>
        </w:rPr>
        <w:t xml:space="preserve"> déshydrogénase. </w:t>
      </w:r>
    </w:p>
    <w:p w:rsidR="00573399" w:rsidRPr="00DD2685" w:rsidRDefault="00573399" w:rsidP="00573399">
      <w:pPr>
        <w:autoSpaceDE w:val="0"/>
        <w:autoSpaceDN w:val="0"/>
        <w:adjustRightInd w:val="0"/>
        <w:jc w:val="both"/>
        <w:rPr>
          <w:b/>
          <w:bCs/>
          <w:szCs w:val="20"/>
        </w:rPr>
      </w:pPr>
    </w:p>
    <w:p w:rsidR="00573399" w:rsidRPr="00DD2685" w:rsidRDefault="00573399" w:rsidP="00573399">
      <w:pPr>
        <w:autoSpaceDE w:val="0"/>
        <w:autoSpaceDN w:val="0"/>
        <w:adjustRightInd w:val="0"/>
        <w:ind w:firstLine="708"/>
        <w:jc w:val="both"/>
        <w:rPr>
          <w:szCs w:val="20"/>
        </w:rPr>
      </w:pPr>
      <w:r w:rsidRPr="00DD2685">
        <w:rPr>
          <w:bCs/>
          <w:szCs w:val="20"/>
        </w:rPr>
        <w:t xml:space="preserve">La </w:t>
      </w:r>
      <w:proofErr w:type="spellStart"/>
      <w:r w:rsidRPr="00DD2685">
        <w:rPr>
          <w:bCs/>
          <w:szCs w:val="20"/>
        </w:rPr>
        <w:t>butyryl-CoA</w:t>
      </w:r>
      <w:proofErr w:type="spellEnd"/>
      <w:r w:rsidRPr="00DD2685">
        <w:rPr>
          <w:bCs/>
          <w:szCs w:val="20"/>
        </w:rPr>
        <w:t xml:space="preserve"> (</w:t>
      </w:r>
      <w:proofErr w:type="spellStart"/>
      <w:r w:rsidRPr="00DD2685">
        <w:rPr>
          <w:bCs/>
          <w:szCs w:val="20"/>
        </w:rPr>
        <w:t>CoA</w:t>
      </w:r>
      <w:proofErr w:type="spellEnd"/>
      <w:r w:rsidRPr="00DD2685">
        <w:rPr>
          <w:bCs/>
          <w:szCs w:val="20"/>
        </w:rPr>
        <w:t xml:space="preserve"> </w:t>
      </w:r>
      <w:r w:rsidRPr="00DD2685">
        <w:rPr>
          <w:szCs w:val="20"/>
        </w:rPr>
        <w:t xml:space="preserve">= </w:t>
      </w:r>
      <w:r w:rsidRPr="00DD2685">
        <w:rPr>
          <w:bCs/>
          <w:szCs w:val="20"/>
        </w:rPr>
        <w:t xml:space="preserve">coenzyme A) déshydrogénase est une </w:t>
      </w:r>
      <w:proofErr w:type="spellStart"/>
      <w:r w:rsidRPr="00DD2685">
        <w:rPr>
          <w:bCs/>
          <w:szCs w:val="20"/>
        </w:rPr>
        <w:t>flavoprotéine</w:t>
      </w:r>
      <w:proofErr w:type="spellEnd"/>
      <w:r w:rsidRPr="00DD2685">
        <w:rPr>
          <w:bCs/>
          <w:szCs w:val="20"/>
        </w:rPr>
        <w:t xml:space="preserve"> qui catalyse la transformation du </w:t>
      </w:r>
      <w:proofErr w:type="spellStart"/>
      <w:r w:rsidRPr="00DD2685">
        <w:rPr>
          <w:bCs/>
          <w:szCs w:val="20"/>
        </w:rPr>
        <w:t>butyryl-CoA</w:t>
      </w:r>
      <w:proofErr w:type="spellEnd"/>
      <w:r w:rsidRPr="00DD2685">
        <w:rPr>
          <w:bCs/>
          <w:szCs w:val="20"/>
        </w:rPr>
        <w:t xml:space="preserve"> en </w:t>
      </w:r>
      <w:proofErr w:type="spellStart"/>
      <w:r w:rsidRPr="00DD2685">
        <w:rPr>
          <w:bCs/>
          <w:szCs w:val="20"/>
        </w:rPr>
        <w:t>trans-crotonyl-CoA</w:t>
      </w:r>
      <w:proofErr w:type="spellEnd"/>
      <w:r w:rsidRPr="00DD2685">
        <w:rPr>
          <w:bCs/>
          <w:szCs w:val="20"/>
        </w:rPr>
        <w:t xml:space="preserve"> </w:t>
      </w:r>
      <w:r w:rsidRPr="00DD2685">
        <w:rPr>
          <w:szCs w:val="20"/>
        </w:rPr>
        <w:t xml:space="preserve">: </w:t>
      </w:r>
    </w:p>
    <w:p w:rsidR="00573399" w:rsidRPr="00DD2685" w:rsidRDefault="00573399" w:rsidP="00573399">
      <w:pPr>
        <w:autoSpaceDE w:val="0"/>
        <w:autoSpaceDN w:val="0"/>
        <w:adjustRightInd w:val="0"/>
        <w:ind w:firstLine="708"/>
        <w:jc w:val="both"/>
        <w:rPr>
          <w:szCs w:val="20"/>
        </w:rPr>
      </w:pPr>
    </w:p>
    <w:p w:rsidR="00573399" w:rsidRPr="00DD2685" w:rsidRDefault="00573399" w:rsidP="00573399">
      <w:pPr>
        <w:autoSpaceDE w:val="0"/>
        <w:autoSpaceDN w:val="0"/>
        <w:adjustRightInd w:val="0"/>
        <w:jc w:val="both"/>
        <w:rPr>
          <w:szCs w:val="20"/>
        </w:rPr>
      </w:pPr>
      <w:r w:rsidRPr="00DD2685">
        <w:rPr>
          <w:noProof/>
          <w:szCs w:val="20"/>
        </w:rPr>
        <w:drawing>
          <wp:inline distT="0" distB="0" distL="0" distR="0" wp14:anchorId="4D07B35C" wp14:editId="3B78BAD2">
            <wp:extent cx="5967730" cy="85026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7730" cy="850265"/>
                    </a:xfrm>
                    <a:prstGeom prst="rect">
                      <a:avLst/>
                    </a:prstGeom>
                    <a:noFill/>
                    <a:ln>
                      <a:noFill/>
                    </a:ln>
                  </pic:spPr>
                </pic:pic>
              </a:graphicData>
            </a:graphic>
          </wp:inline>
        </w:drawing>
      </w:r>
    </w:p>
    <w:p w:rsidR="00573399" w:rsidRPr="00DD2685" w:rsidRDefault="00573399" w:rsidP="00573399">
      <w:pPr>
        <w:autoSpaceDE w:val="0"/>
        <w:autoSpaceDN w:val="0"/>
        <w:adjustRightInd w:val="0"/>
        <w:jc w:val="both"/>
        <w:rPr>
          <w:szCs w:val="20"/>
        </w:rPr>
      </w:pPr>
    </w:p>
    <w:p w:rsidR="00573399" w:rsidRPr="00DD2685" w:rsidRDefault="00573399" w:rsidP="00573399">
      <w:pPr>
        <w:autoSpaceDE w:val="0"/>
        <w:autoSpaceDN w:val="0"/>
        <w:adjustRightInd w:val="0"/>
        <w:jc w:val="center"/>
        <w:rPr>
          <w:szCs w:val="20"/>
        </w:rPr>
      </w:pPr>
    </w:p>
    <w:p w:rsidR="00573399" w:rsidRPr="00DD2685" w:rsidRDefault="00573399" w:rsidP="00573399">
      <w:pPr>
        <w:autoSpaceDE w:val="0"/>
        <w:autoSpaceDN w:val="0"/>
        <w:adjustRightInd w:val="0"/>
        <w:ind w:firstLine="708"/>
        <w:jc w:val="both"/>
        <w:rPr>
          <w:szCs w:val="20"/>
        </w:rPr>
      </w:pPr>
      <w:r w:rsidRPr="00DD2685">
        <w:rPr>
          <w:szCs w:val="20"/>
        </w:rPr>
        <w:t xml:space="preserve">Cette enzyme, qui est utilisée en quantité catalytique, contient un cofacteur FAD fortement lié à la protéine. La régénération de l'enzyme oxydée se fait grâce à un accepteur d'électrons présent dans le milieu d'incubation. </w:t>
      </w:r>
    </w:p>
    <w:p w:rsidR="00573399" w:rsidRPr="00DD2685" w:rsidRDefault="00573399" w:rsidP="00573399">
      <w:pPr>
        <w:autoSpaceDE w:val="0"/>
        <w:autoSpaceDN w:val="0"/>
        <w:adjustRightInd w:val="0"/>
        <w:ind w:firstLine="709"/>
        <w:jc w:val="center"/>
        <w:rPr>
          <w:szCs w:val="20"/>
        </w:rPr>
      </w:pPr>
      <w:r w:rsidRPr="00DD2685">
        <w:rPr>
          <w:noProof/>
          <w:szCs w:val="20"/>
        </w:rPr>
        <w:drawing>
          <wp:inline distT="0" distB="0" distL="0" distR="0" wp14:anchorId="21A3E16F" wp14:editId="270C1C51">
            <wp:extent cx="1837055" cy="13557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1355725"/>
                    </a:xfrm>
                    <a:prstGeom prst="rect">
                      <a:avLst/>
                    </a:prstGeom>
                    <a:noFill/>
                    <a:ln>
                      <a:noFill/>
                    </a:ln>
                  </pic:spPr>
                </pic:pic>
              </a:graphicData>
            </a:graphic>
          </wp:inline>
        </w:drawing>
      </w:r>
    </w:p>
    <w:p w:rsidR="00573399" w:rsidRPr="00DD2685" w:rsidRDefault="00573399" w:rsidP="00573399">
      <w:pPr>
        <w:autoSpaceDE w:val="0"/>
        <w:autoSpaceDN w:val="0"/>
        <w:adjustRightInd w:val="0"/>
        <w:ind w:firstLine="709"/>
        <w:jc w:val="center"/>
        <w:rPr>
          <w:szCs w:val="20"/>
        </w:rPr>
      </w:pPr>
    </w:p>
    <w:p w:rsidR="00573399" w:rsidRPr="00DD2685" w:rsidRDefault="00573399" w:rsidP="00573399">
      <w:pPr>
        <w:autoSpaceDE w:val="0"/>
        <w:autoSpaceDN w:val="0"/>
        <w:adjustRightInd w:val="0"/>
        <w:jc w:val="both"/>
        <w:rPr>
          <w:szCs w:val="20"/>
        </w:rPr>
      </w:pPr>
      <w:r w:rsidRPr="00DD2685">
        <w:rPr>
          <w:szCs w:val="20"/>
        </w:rPr>
        <w:t xml:space="preserve">II-1. Afin d'étudier la stéréochimie de la réaction plusieurs substrats </w:t>
      </w:r>
      <w:proofErr w:type="spellStart"/>
      <w:r w:rsidRPr="00DD2685">
        <w:rPr>
          <w:szCs w:val="20"/>
        </w:rPr>
        <w:t>tritiés</w:t>
      </w:r>
      <w:proofErr w:type="spellEnd"/>
      <w:r w:rsidRPr="00DD2685">
        <w:rPr>
          <w:szCs w:val="20"/>
        </w:rPr>
        <w:t xml:space="preserve"> (T = </w:t>
      </w:r>
      <w:r w:rsidRPr="00DD2685">
        <w:rPr>
          <w:szCs w:val="20"/>
          <w:vertAlign w:val="superscript"/>
        </w:rPr>
        <w:t>3</w:t>
      </w:r>
      <w:r w:rsidRPr="00DD2685">
        <w:rPr>
          <w:szCs w:val="20"/>
        </w:rPr>
        <w:t xml:space="preserve">H) ont été préparés : </w:t>
      </w:r>
    </w:p>
    <w:p w:rsidR="00573399" w:rsidRPr="00DD2685" w:rsidRDefault="00573399" w:rsidP="00573399">
      <w:pPr>
        <w:autoSpaceDE w:val="0"/>
        <w:autoSpaceDN w:val="0"/>
        <w:adjustRightInd w:val="0"/>
        <w:jc w:val="center"/>
        <w:rPr>
          <w:szCs w:val="20"/>
        </w:rPr>
      </w:pPr>
      <w:r w:rsidRPr="00DD2685">
        <w:rPr>
          <w:noProof/>
          <w:szCs w:val="20"/>
        </w:rPr>
        <w:drawing>
          <wp:inline distT="0" distB="0" distL="0" distR="0" wp14:anchorId="16A723B9" wp14:editId="251230F2">
            <wp:extent cx="3657600" cy="218948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189480"/>
                    </a:xfrm>
                    <a:prstGeom prst="rect">
                      <a:avLst/>
                    </a:prstGeom>
                    <a:noFill/>
                    <a:ln>
                      <a:noFill/>
                    </a:ln>
                  </pic:spPr>
                </pic:pic>
              </a:graphicData>
            </a:graphic>
          </wp:inline>
        </w:drawing>
      </w:r>
    </w:p>
    <w:p w:rsidR="00573399" w:rsidRPr="00DD2685" w:rsidRDefault="00573399" w:rsidP="00573399">
      <w:pPr>
        <w:autoSpaceDE w:val="0"/>
        <w:autoSpaceDN w:val="0"/>
        <w:adjustRightInd w:val="0"/>
        <w:ind w:firstLine="708"/>
        <w:jc w:val="both"/>
        <w:rPr>
          <w:szCs w:val="20"/>
        </w:rPr>
      </w:pPr>
      <w:r w:rsidRPr="00DD2685">
        <w:rPr>
          <w:szCs w:val="20"/>
        </w:rPr>
        <w:t>Chaque substrat est totalement transformé en produit en présence d'enzyme et d'accepteur d'électrons. Après séparation de l'eau du reste des molécules présentes dans le milieu d'incubation, la radioactivité de l'eau est mesurée. Les résultats sont résumés dans le tableau suivant :</w:t>
      </w:r>
    </w:p>
    <w:p w:rsidR="00573399" w:rsidRPr="00DD2685" w:rsidRDefault="00573399" w:rsidP="00573399">
      <w:pPr>
        <w:autoSpaceDE w:val="0"/>
        <w:autoSpaceDN w:val="0"/>
        <w:adjustRightInd w:val="0"/>
        <w:ind w:firstLine="708"/>
        <w:jc w:val="both"/>
        <w:rPr>
          <w:szCs w:val="20"/>
        </w:rPr>
      </w:pPr>
      <w:r w:rsidRPr="00DD2685">
        <w:rPr>
          <w:szCs w:val="20"/>
        </w:rPr>
        <w:t xml:space="preserve"> </w:t>
      </w:r>
    </w:p>
    <w:tbl>
      <w:tblPr>
        <w:tblStyle w:val="Grilledutableau"/>
        <w:tblW w:w="0" w:type="auto"/>
        <w:tblInd w:w="1008" w:type="dxa"/>
        <w:tblLook w:val="00BF" w:firstRow="1" w:lastRow="0" w:firstColumn="1" w:lastColumn="0" w:noHBand="0" w:noVBand="0"/>
      </w:tblPr>
      <w:tblGrid>
        <w:gridCol w:w="1701"/>
        <w:gridCol w:w="2268"/>
        <w:gridCol w:w="3969"/>
      </w:tblGrid>
      <w:tr w:rsidR="00573399" w:rsidRPr="00DD2685" w:rsidTr="00DA6DD1">
        <w:trPr>
          <w:trHeight w:val="397"/>
        </w:trPr>
        <w:tc>
          <w:tcPr>
            <w:tcW w:w="1701" w:type="dxa"/>
            <w:tcBorders>
              <w:left w:val="nil"/>
              <w:bottom w:val="single" w:sz="4" w:space="0" w:color="auto"/>
              <w:right w:val="nil"/>
            </w:tcBorders>
          </w:tcPr>
          <w:p w:rsidR="00573399" w:rsidRPr="00DD2685" w:rsidRDefault="00573399" w:rsidP="00DA6DD1">
            <w:pPr>
              <w:autoSpaceDE w:val="0"/>
              <w:autoSpaceDN w:val="0"/>
              <w:adjustRightInd w:val="0"/>
              <w:jc w:val="center"/>
            </w:pPr>
            <w:r w:rsidRPr="00DD2685">
              <w:rPr>
                <w:szCs w:val="22"/>
              </w:rPr>
              <w:t>Substrat</w:t>
            </w:r>
          </w:p>
        </w:tc>
        <w:tc>
          <w:tcPr>
            <w:tcW w:w="2268" w:type="dxa"/>
            <w:tcBorders>
              <w:left w:val="nil"/>
              <w:bottom w:val="single" w:sz="4" w:space="0" w:color="auto"/>
              <w:right w:val="nil"/>
            </w:tcBorders>
          </w:tcPr>
          <w:p w:rsidR="00573399" w:rsidRPr="00DD2685" w:rsidRDefault="00573399" w:rsidP="00DA6DD1">
            <w:pPr>
              <w:autoSpaceDE w:val="0"/>
              <w:autoSpaceDN w:val="0"/>
              <w:adjustRightInd w:val="0"/>
              <w:jc w:val="center"/>
            </w:pPr>
            <w:r w:rsidRPr="00DD2685">
              <w:rPr>
                <w:szCs w:val="22"/>
              </w:rPr>
              <w:t>Produit formé (%)</w:t>
            </w:r>
          </w:p>
        </w:tc>
        <w:tc>
          <w:tcPr>
            <w:tcW w:w="3969" w:type="dxa"/>
            <w:tcBorders>
              <w:left w:val="nil"/>
              <w:bottom w:val="single" w:sz="4" w:space="0" w:color="auto"/>
              <w:right w:val="nil"/>
            </w:tcBorders>
          </w:tcPr>
          <w:p w:rsidR="00573399" w:rsidRPr="00DD2685" w:rsidRDefault="00573399" w:rsidP="00DA6DD1">
            <w:pPr>
              <w:autoSpaceDE w:val="0"/>
              <w:autoSpaceDN w:val="0"/>
              <w:adjustRightInd w:val="0"/>
              <w:jc w:val="center"/>
            </w:pPr>
            <w:r w:rsidRPr="00DD2685">
              <w:rPr>
                <w:szCs w:val="22"/>
              </w:rPr>
              <w:t>Radioactivité retrouvée dans l'eau (%)</w:t>
            </w:r>
          </w:p>
        </w:tc>
      </w:tr>
      <w:tr w:rsidR="00573399" w:rsidRPr="00DD2685" w:rsidTr="00DA6DD1">
        <w:trPr>
          <w:trHeight w:val="397"/>
        </w:trPr>
        <w:tc>
          <w:tcPr>
            <w:tcW w:w="1701" w:type="dxa"/>
            <w:tcBorders>
              <w:left w:val="nil"/>
              <w:bottom w:val="nil"/>
              <w:right w:val="nil"/>
            </w:tcBorders>
          </w:tcPr>
          <w:p w:rsidR="00573399" w:rsidRPr="00DD2685" w:rsidRDefault="00573399" w:rsidP="00DA6DD1">
            <w:pPr>
              <w:autoSpaceDE w:val="0"/>
              <w:autoSpaceDN w:val="0"/>
              <w:adjustRightInd w:val="0"/>
              <w:jc w:val="center"/>
              <w:rPr>
                <w:b/>
                <w:u w:val="single"/>
              </w:rPr>
            </w:pPr>
            <w:r w:rsidRPr="00DD2685">
              <w:rPr>
                <w:b/>
                <w:szCs w:val="22"/>
                <w:u w:val="single"/>
              </w:rPr>
              <w:t>3</w:t>
            </w:r>
          </w:p>
        </w:tc>
        <w:tc>
          <w:tcPr>
            <w:tcW w:w="2268" w:type="dxa"/>
            <w:tcBorders>
              <w:left w:val="nil"/>
              <w:bottom w:val="nil"/>
              <w:right w:val="nil"/>
            </w:tcBorders>
          </w:tcPr>
          <w:p w:rsidR="00573399" w:rsidRPr="00DD2685" w:rsidRDefault="00573399" w:rsidP="00DA6DD1">
            <w:pPr>
              <w:autoSpaceDE w:val="0"/>
              <w:autoSpaceDN w:val="0"/>
              <w:adjustRightInd w:val="0"/>
              <w:jc w:val="center"/>
            </w:pPr>
            <w:r w:rsidRPr="00DD2685">
              <w:rPr>
                <w:szCs w:val="22"/>
              </w:rPr>
              <w:t>100</w:t>
            </w:r>
          </w:p>
        </w:tc>
        <w:tc>
          <w:tcPr>
            <w:tcW w:w="3969" w:type="dxa"/>
            <w:tcBorders>
              <w:left w:val="nil"/>
              <w:bottom w:val="nil"/>
              <w:right w:val="nil"/>
            </w:tcBorders>
          </w:tcPr>
          <w:p w:rsidR="00573399" w:rsidRPr="00DD2685" w:rsidRDefault="00573399" w:rsidP="00DA6DD1">
            <w:pPr>
              <w:autoSpaceDE w:val="0"/>
              <w:autoSpaceDN w:val="0"/>
              <w:adjustRightInd w:val="0"/>
              <w:jc w:val="center"/>
            </w:pPr>
            <w:r w:rsidRPr="00DD2685">
              <w:rPr>
                <w:szCs w:val="22"/>
              </w:rPr>
              <w:t>100</w:t>
            </w:r>
          </w:p>
        </w:tc>
      </w:tr>
      <w:tr w:rsidR="00573399" w:rsidRPr="00DD2685" w:rsidTr="00DA6DD1">
        <w:trPr>
          <w:trHeight w:val="397"/>
        </w:trPr>
        <w:tc>
          <w:tcPr>
            <w:tcW w:w="1701" w:type="dxa"/>
            <w:tcBorders>
              <w:top w:val="nil"/>
              <w:left w:val="nil"/>
              <w:bottom w:val="nil"/>
              <w:right w:val="nil"/>
            </w:tcBorders>
          </w:tcPr>
          <w:p w:rsidR="00573399" w:rsidRPr="00DD2685" w:rsidRDefault="00573399" w:rsidP="00DA6DD1">
            <w:pPr>
              <w:autoSpaceDE w:val="0"/>
              <w:autoSpaceDN w:val="0"/>
              <w:adjustRightInd w:val="0"/>
              <w:jc w:val="center"/>
            </w:pPr>
            <w:r w:rsidRPr="00DD2685">
              <w:rPr>
                <w:b/>
                <w:szCs w:val="22"/>
                <w:u w:val="single"/>
              </w:rPr>
              <w:t>4</w:t>
            </w:r>
          </w:p>
        </w:tc>
        <w:tc>
          <w:tcPr>
            <w:tcW w:w="2268" w:type="dxa"/>
            <w:tcBorders>
              <w:top w:val="nil"/>
              <w:left w:val="nil"/>
              <w:bottom w:val="nil"/>
              <w:right w:val="nil"/>
            </w:tcBorders>
          </w:tcPr>
          <w:p w:rsidR="00573399" w:rsidRPr="00DD2685" w:rsidRDefault="00573399" w:rsidP="00DA6DD1">
            <w:pPr>
              <w:autoSpaceDE w:val="0"/>
              <w:autoSpaceDN w:val="0"/>
              <w:adjustRightInd w:val="0"/>
              <w:jc w:val="center"/>
            </w:pPr>
            <w:r w:rsidRPr="00DD2685">
              <w:rPr>
                <w:szCs w:val="22"/>
              </w:rPr>
              <w:t>100</w:t>
            </w:r>
          </w:p>
        </w:tc>
        <w:tc>
          <w:tcPr>
            <w:tcW w:w="3969" w:type="dxa"/>
            <w:tcBorders>
              <w:top w:val="nil"/>
              <w:left w:val="nil"/>
              <w:bottom w:val="nil"/>
              <w:right w:val="nil"/>
            </w:tcBorders>
          </w:tcPr>
          <w:p w:rsidR="00573399" w:rsidRPr="00DD2685" w:rsidRDefault="00573399" w:rsidP="00DA6DD1">
            <w:pPr>
              <w:autoSpaceDE w:val="0"/>
              <w:autoSpaceDN w:val="0"/>
              <w:adjustRightInd w:val="0"/>
              <w:jc w:val="center"/>
            </w:pPr>
            <w:r w:rsidRPr="00DD2685">
              <w:rPr>
                <w:szCs w:val="22"/>
              </w:rPr>
              <w:t>0</w:t>
            </w:r>
          </w:p>
        </w:tc>
      </w:tr>
      <w:tr w:rsidR="00573399" w:rsidRPr="00DD2685" w:rsidTr="00DA6DD1">
        <w:trPr>
          <w:trHeight w:val="397"/>
        </w:trPr>
        <w:tc>
          <w:tcPr>
            <w:tcW w:w="1701" w:type="dxa"/>
            <w:tcBorders>
              <w:top w:val="nil"/>
              <w:left w:val="nil"/>
              <w:bottom w:val="nil"/>
              <w:right w:val="nil"/>
            </w:tcBorders>
          </w:tcPr>
          <w:p w:rsidR="00573399" w:rsidRPr="00DD2685" w:rsidRDefault="00573399" w:rsidP="00DA6DD1">
            <w:pPr>
              <w:autoSpaceDE w:val="0"/>
              <w:autoSpaceDN w:val="0"/>
              <w:adjustRightInd w:val="0"/>
              <w:jc w:val="center"/>
            </w:pPr>
            <w:r w:rsidRPr="00DD2685">
              <w:rPr>
                <w:b/>
                <w:szCs w:val="22"/>
                <w:u w:val="single"/>
              </w:rPr>
              <w:t>5</w:t>
            </w:r>
          </w:p>
        </w:tc>
        <w:tc>
          <w:tcPr>
            <w:tcW w:w="2268" w:type="dxa"/>
            <w:tcBorders>
              <w:top w:val="nil"/>
              <w:left w:val="nil"/>
              <w:bottom w:val="nil"/>
              <w:right w:val="nil"/>
            </w:tcBorders>
          </w:tcPr>
          <w:p w:rsidR="00573399" w:rsidRPr="00DD2685" w:rsidRDefault="00573399" w:rsidP="00DA6DD1">
            <w:pPr>
              <w:autoSpaceDE w:val="0"/>
              <w:autoSpaceDN w:val="0"/>
              <w:adjustRightInd w:val="0"/>
              <w:jc w:val="center"/>
            </w:pPr>
            <w:r w:rsidRPr="00DD2685">
              <w:rPr>
                <w:szCs w:val="22"/>
              </w:rPr>
              <w:t>100</w:t>
            </w:r>
          </w:p>
        </w:tc>
        <w:tc>
          <w:tcPr>
            <w:tcW w:w="3969" w:type="dxa"/>
            <w:tcBorders>
              <w:top w:val="nil"/>
              <w:left w:val="nil"/>
              <w:bottom w:val="nil"/>
              <w:right w:val="nil"/>
            </w:tcBorders>
          </w:tcPr>
          <w:p w:rsidR="00573399" w:rsidRPr="00DD2685" w:rsidRDefault="00573399" w:rsidP="00DA6DD1">
            <w:pPr>
              <w:autoSpaceDE w:val="0"/>
              <w:autoSpaceDN w:val="0"/>
              <w:adjustRightInd w:val="0"/>
              <w:jc w:val="center"/>
            </w:pPr>
            <w:r w:rsidRPr="00DD2685">
              <w:rPr>
                <w:szCs w:val="22"/>
              </w:rPr>
              <w:t>100</w:t>
            </w:r>
          </w:p>
        </w:tc>
      </w:tr>
      <w:tr w:rsidR="00573399" w:rsidRPr="00DD2685" w:rsidTr="00DA6DD1">
        <w:trPr>
          <w:trHeight w:val="397"/>
        </w:trPr>
        <w:tc>
          <w:tcPr>
            <w:tcW w:w="1701" w:type="dxa"/>
            <w:tcBorders>
              <w:top w:val="nil"/>
              <w:left w:val="nil"/>
              <w:right w:val="nil"/>
            </w:tcBorders>
          </w:tcPr>
          <w:p w:rsidR="00573399" w:rsidRPr="00DD2685" w:rsidRDefault="00573399" w:rsidP="00DA6DD1">
            <w:pPr>
              <w:autoSpaceDE w:val="0"/>
              <w:autoSpaceDN w:val="0"/>
              <w:adjustRightInd w:val="0"/>
              <w:jc w:val="center"/>
            </w:pPr>
            <w:r w:rsidRPr="00DD2685">
              <w:rPr>
                <w:b/>
                <w:szCs w:val="22"/>
                <w:u w:val="single"/>
              </w:rPr>
              <w:t>6</w:t>
            </w:r>
          </w:p>
        </w:tc>
        <w:tc>
          <w:tcPr>
            <w:tcW w:w="2268" w:type="dxa"/>
            <w:tcBorders>
              <w:top w:val="nil"/>
              <w:left w:val="nil"/>
              <w:right w:val="nil"/>
            </w:tcBorders>
          </w:tcPr>
          <w:p w:rsidR="00573399" w:rsidRPr="00DD2685" w:rsidRDefault="00573399" w:rsidP="00DA6DD1">
            <w:pPr>
              <w:autoSpaceDE w:val="0"/>
              <w:autoSpaceDN w:val="0"/>
              <w:adjustRightInd w:val="0"/>
              <w:jc w:val="center"/>
            </w:pPr>
            <w:r w:rsidRPr="00DD2685">
              <w:rPr>
                <w:szCs w:val="22"/>
              </w:rPr>
              <w:t>100</w:t>
            </w:r>
          </w:p>
        </w:tc>
        <w:tc>
          <w:tcPr>
            <w:tcW w:w="3969" w:type="dxa"/>
            <w:tcBorders>
              <w:top w:val="nil"/>
              <w:left w:val="nil"/>
              <w:right w:val="nil"/>
            </w:tcBorders>
          </w:tcPr>
          <w:p w:rsidR="00573399" w:rsidRPr="00DD2685" w:rsidRDefault="00573399" w:rsidP="00DA6DD1">
            <w:pPr>
              <w:autoSpaceDE w:val="0"/>
              <w:autoSpaceDN w:val="0"/>
              <w:adjustRightInd w:val="0"/>
              <w:jc w:val="center"/>
            </w:pPr>
            <w:r w:rsidRPr="00DD2685">
              <w:rPr>
                <w:szCs w:val="22"/>
              </w:rPr>
              <w:t>0</w:t>
            </w:r>
          </w:p>
        </w:tc>
      </w:tr>
    </w:tbl>
    <w:p w:rsidR="00573399" w:rsidRPr="00DD2685" w:rsidRDefault="00573399" w:rsidP="00573399">
      <w:pPr>
        <w:autoSpaceDE w:val="0"/>
        <w:autoSpaceDN w:val="0"/>
        <w:adjustRightInd w:val="0"/>
        <w:jc w:val="both"/>
        <w:rPr>
          <w:szCs w:val="20"/>
        </w:rPr>
      </w:pPr>
    </w:p>
    <w:p w:rsidR="00573399" w:rsidRPr="00DD2685" w:rsidRDefault="00573399" w:rsidP="00573399">
      <w:pPr>
        <w:autoSpaceDE w:val="0"/>
        <w:autoSpaceDN w:val="0"/>
        <w:adjustRightInd w:val="0"/>
        <w:ind w:firstLine="708"/>
        <w:jc w:val="both"/>
        <w:rPr>
          <w:szCs w:val="22"/>
        </w:rPr>
      </w:pPr>
      <w:r w:rsidRPr="00DD2685">
        <w:rPr>
          <w:szCs w:val="20"/>
        </w:rPr>
        <w:lastRenderedPageBreak/>
        <w:t xml:space="preserve">II-1a. </w:t>
      </w:r>
      <w:r w:rsidRPr="00DD2685">
        <w:rPr>
          <w:szCs w:val="22"/>
        </w:rPr>
        <w:t>Quels sont les protons (</w:t>
      </w:r>
      <w:proofErr w:type="spellStart"/>
      <w:r w:rsidRPr="00DD2685">
        <w:rPr>
          <w:szCs w:val="22"/>
        </w:rPr>
        <w:t>proR</w:t>
      </w:r>
      <w:proofErr w:type="spellEnd"/>
      <w:r w:rsidRPr="00DD2685">
        <w:rPr>
          <w:szCs w:val="22"/>
        </w:rPr>
        <w:t xml:space="preserve"> ou </w:t>
      </w:r>
      <w:proofErr w:type="spellStart"/>
      <w:r w:rsidRPr="00DD2685">
        <w:rPr>
          <w:szCs w:val="22"/>
        </w:rPr>
        <w:t>proS</w:t>
      </w:r>
      <w:proofErr w:type="spellEnd"/>
      <w:r w:rsidRPr="00DD2685">
        <w:rPr>
          <w:szCs w:val="22"/>
        </w:rPr>
        <w:t>) perdus lors de l'oxydation</w:t>
      </w:r>
      <w:r w:rsidR="0056007B">
        <w:rPr>
          <w:szCs w:val="22"/>
        </w:rPr>
        <w:t xml:space="preserve"> </w:t>
      </w:r>
      <w:r w:rsidRPr="00DD2685">
        <w:rPr>
          <w:szCs w:val="22"/>
        </w:rPr>
        <w:t xml:space="preserve">? </w:t>
      </w:r>
      <w:bookmarkStart w:id="0" w:name="_GoBack"/>
      <w:bookmarkEnd w:id="0"/>
    </w:p>
    <w:p w:rsidR="00573399" w:rsidRPr="00DD2685" w:rsidRDefault="00573399" w:rsidP="00573399">
      <w:pPr>
        <w:autoSpaceDE w:val="0"/>
        <w:autoSpaceDN w:val="0"/>
        <w:adjustRightInd w:val="0"/>
        <w:ind w:firstLine="708"/>
        <w:jc w:val="both"/>
        <w:rPr>
          <w:szCs w:val="22"/>
        </w:rPr>
      </w:pPr>
    </w:p>
    <w:p w:rsidR="00573399" w:rsidRPr="00DD2685" w:rsidRDefault="00573399" w:rsidP="00573399">
      <w:pPr>
        <w:autoSpaceDE w:val="0"/>
        <w:autoSpaceDN w:val="0"/>
        <w:adjustRightInd w:val="0"/>
        <w:ind w:firstLine="708"/>
        <w:jc w:val="both"/>
        <w:rPr>
          <w:szCs w:val="22"/>
        </w:rPr>
      </w:pPr>
      <w:r w:rsidRPr="00DD2685">
        <w:rPr>
          <w:szCs w:val="20"/>
        </w:rPr>
        <w:t xml:space="preserve">II-1b. </w:t>
      </w:r>
      <w:r w:rsidRPr="00DD2685">
        <w:rPr>
          <w:szCs w:val="22"/>
        </w:rPr>
        <w:t>Quelle est la stéréochimie de l'élimination (</w:t>
      </w:r>
      <w:proofErr w:type="spellStart"/>
      <w:r w:rsidRPr="00DD2685">
        <w:rPr>
          <w:szCs w:val="22"/>
        </w:rPr>
        <w:t>syn</w:t>
      </w:r>
      <w:proofErr w:type="spellEnd"/>
      <w:r w:rsidRPr="00DD2685">
        <w:rPr>
          <w:szCs w:val="22"/>
        </w:rPr>
        <w:t xml:space="preserve"> ou anti) ? Justifier votre réponse par un </w:t>
      </w:r>
      <w:r>
        <w:rPr>
          <w:szCs w:val="22"/>
        </w:rPr>
        <w:t>schéma</w:t>
      </w:r>
      <w:r w:rsidRPr="00DD2685">
        <w:rPr>
          <w:szCs w:val="22"/>
        </w:rPr>
        <w:t xml:space="preserve"> </w:t>
      </w:r>
      <w:r>
        <w:rPr>
          <w:szCs w:val="22"/>
        </w:rPr>
        <w:t xml:space="preserve">clair en convention de </w:t>
      </w:r>
      <w:proofErr w:type="spellStart"/>
      <w:r>
        <w:rPr>
          <w:szCs w:val="22"/>
        </w:rPr>
        <w:t>cram</w:t>
      </w:r>
      <w:proofErr w:type="spellEnd"/>
      <w:r w:rsidRPr="00DD2685">
        <w:rPr>
          <w:szCs w:val="22"/>
        </w:rPr>
        <w:t xml:space="preserve">. </w:t>
      </w:r>
    </w:p>
    <w:p w:rsidR="00573399" w:rsidRPr="00DD2685" w:rsidRDefault="00573399" w:rsidP="00573399">
      <w:pPr>
        <w:autoSpaceDE w:val="0"/>
        <w:autoSpaceDN w:val="0"/>
        <w:adjustRightInd w:val="0"/>
        <w:ind w:firstLine="708"/>
        <w:jc w:val="both"/>
        <w:rPr>
          <w:szCs w:val="22"/>
        </w:rPr>
      </w:pPr>
    </w:p>
    <w:p w:rsidR="00573399" w:rsidRPr="00DD2685" w:rsidRDefault="00573399" w:rsidP="00573399">
      <w:pPr>
        <w:autoSpaceDE w:val="0"/>
        <w:autoSpaceDN w:val="0"/>
        <w:adjustRightInd w:val="0"/>
        <w:jc w:val="both"/>
        <w:rPr>
          <w:szCs w:val="22"/>
        </w:rPr>
      </w:pPr>
      <w:r w:rsidRPr="00DD2685">
        <w:rPr>
          <w:szCs w:val="22"/>
        </w:rPr>
        <w:t xml:space="preserve">II-2. Le tableau suivant résume les résultats obtenus pour des incubations en présence de l'enzyme mais sans accepteur d'électrons. On rappelle que l'enzyme est utilisée en quantité catalytique. </w:t>
      </w:r>
    </w:p>
    <w:p w:rsidR="00573399" w:rsidRPr="00DD2685" w:rsidRDefault="00573399" w:rsidP="00573399">
      <w:pPr>
        <w:autoSpaceDE w:val="0"/>
        <w:autoSpaceDN w:val="0"/>
        <w:adjustRightInd w:val="0"/>
        <w:jc w:val="both"/>
        <w:rPr>
          <w:szCs w:val="22"/>
        </w:rPr>
      </w:pPr>
    </w:p>
    <w:tbl>
      <w:tblPr>
        <w:tblStyle w:val="Grilledutableau"/>
        <w:tblW w:w="0" w:type="auto"/>
        <w:tblInd w:w="1008" w:type="dxa"/>
        <w:tblLook w:val="00BF" w:firstRow="1" w:lastRow="0" w:firstColumn="1" w:lastColumn="0" w:noHBand="0" w:noVBand="0"/>
      </w:tblPr>
      <w:tblGrid>
        <w:gridCol w:w="1701"/>
        <w:gridCol w:w="2268"/>
        <w:gridCol w:w="3969"/>
      </w:tblGrid>
      <w:tr w:rsidR="00573399" w:rsidRPr="00DD2685" w:rsidTr="00DA6DD1">
        <w:trPr>
          <w:trHeight w:val="397"/>
        </w:trPr>
        <w:tc>
          <w:tcPr>
            <w:tcW w:w="1701" w:type="dxa"/>
            <w:tcBorders>
              <w:left w:val="nil"/>
              <w:bottom w:val="single" w:sz="4" w:space="0" w:color="auto"/>
              <w:right w:val="nil"/>
            </w:tcBorders>
          </w:tcPr>
          <w:p w:rsidR="00573399" w:rsidRPr="00DD2685" w:rsidRDefault="00573399" w:rsidP="00DA6DD1">
            <w:pPr>
              <w:autoSpaceDE w:val="0"/>
              <w:autoSpaceDN w:val="0"/>
              <w:adjustRightInd w:val="0"/>
              <w:jc w:val="center"/>
            </w:pPr>
            <w:r w:rsidRPr="00DD2685">
              <w:rPr>
                <w:szCs w:val="22"/>
              </w:rPr>
              <w:t>Substrat</w:t>
            </w:r>
          </w:p>
        </w:tc>
        <w:tc>
          <w:tcPr>
            <w:tcW w:w="2268" w:type="dxa"/>
            <w:tcBorders>
              <w:left w:val="nil"/>
              <w:bottom w:val="single" w:sz="4" w:space="0" w:color="auto"/>
              <w:right w:val="nil"/>
            </w:tcBorders>
          </w:tcPr>
          <w:p w:rsidR="00573399" w:rsidRPr="00DD2685" w:rsidRDefault="00573399" w:rsidP="00DA6DD1">
            <w:pPr>
              <w:autoSpaceDE w:val="0"/>
              <w:autoSpaceDN w:val="0"/>
              <w:adjustRightInd w:val="0"/>
              <w:jc w:val="center"/>
            </w:pPr>
            <w:r w:rsidRPr="00DD2685">
              <w:rPr>
                <w:szCs w:val="22"/>
              </w:rPr>
              <w:t>Produit formé (%)</w:t>
            </w:r>
          </w:p>
        </w:tc>
        <w:tc>
          <w:tcPr>
            <w:tcW w:w="3969" w:type="dxa"/>
            <w:tcBorders>
              <w:left w:val="nil"/>
              <w:bottom w:val="single" w:sz="4" w:space="0" w:color="auto"/>
              <w:right w:val="nil"/>
            </w:tcBorders>
          </w:tcPr>
          <w:p w:rsidR="00573399" w:rsidRPr="00DD2685" w:rsidRDefault="00573399" w:rsidP="00DA6DD1">
            <w:pPr>
              <w:autoSpaceDE w:val="0"/>
              <w:autoSpaceDN w:val="0"/>
              <w:adjustRightInd w:val="0"/>
              <w:jc w:val="center"/>
            </w:pPr>
            <w:r w:rsidRPr="00DD2685">
              <w:rPr>
                <w:szCs w:val="22"/>
              </w:rPr>
              <w:t>Radioactivité retrouvée dans l'eau (%)</w:t>
            </w:r>
          </w:p>
        </w:tc>
      </w:tr>
      <w:tr w:rsidR="00573399" w:rsidRPr="00DD2685" w:rsidTr="00DA6DD1">
        <w:trPr>
          <w:trHeight w:val="397"/>
        </w:trPr>
        <w:tc>
          <w:tcPr>
            <w:tcW w:w="1701" w:type="dxa"/>
            <w:tcBorders>
              <w:left w:val="nil"/>
              <w:bottom w:val="nil"/>
              <w:right w:val="nil"/>
            </w:tcBorders>
          </w:tcPr>
          <w:p w:rsidR="00573399" w:rsidRPr="00DD2685" w:rsidRDefault="00573399" w:rsidP="00DA6DD1">
            <w:pPr>
              <w:autoSpaceDE w:val="0"/>
              <w:autoSpaceDN w:val="0"/>
              <w:adjustRightInd w:val="0"/>
              <w:jc w:val="center"/>
              <w:rPr>
                <w:b/>
                <w:u w:val="single"/>
              </w:rPr>
            </w:pPr>
            <w:r w:rsidRPr="00DD2685">
              <w:rPr>
                <w:b/>
                <w:szCs w:val="22"/>
                <w:u w:val="single"/>
              </w:rPr>
              <w:t>3</w:t>
            </w:r>
          </w:p>
        </w:tc>
        <w:tc>
          <w:tcPr>
            <w:tcW w:w="2268" w:type="dxa"/>
            <w:tcBorders>
              <w:left w:val="nil"/>
              <w:bottom w:val="nil"/>
              <w:right w:val="nil"/>
            </w:tcBorders>
          </w:tcPr>
          <w:p w:rsidR="00573399" w:rsidRPr="00DD2685" w:rsidRDefault="00573399" w:rsidP="00DA6DD1">
            <w:pPr>
              <w:autoSpaceDE w:val="0"/>
              <w:autoSpaceDN w:val="0"/>
              <w:adjustRightInd w:val="0"/>
              <w:jc w:val="center"/>
            </w:pPr>
            <w:r w:rsidRPr="00DD2685">
              <w:rPr>
                <w:szCs w:val="22"/>
              </w:rPr>
              <w:t>0</w:t>
            </w:r>
          </w:p>
        </w:tc>
        <w:tc>
          <w:tcPr>
            <w:tcW w:w="3969" w:type="dxa"/>
            <w:tcBorders>
              <w:left w:val="nil"/>
              <w:bottom w:val="nil"/>
              <w:right w:val="nil"/>
            </w:tcBorders>
          </w:tcPr>
          <w:p w:rsidR="00573399" w:rsidRPr="00DD2685" w:rsidRDefault="00573399" w:rsidP="00DA6DD1">
            <w:pPr>
              <w:autoSpaceDE w:val="0"/>
              <w:autoSpaceDN w:val="0"/>
              <w:adjustRightInd w:val="0"/>
              <w:jc w:val="center"/>
            </w:pPr>
            <w:r w:rsidRPr="00DD2685">
              <w:rPr>
                <w:szCs w:val="22"/>
              </w:rPr>
              <w:t>100</w:t>
            </w:r>
          </w:p>
        </w:tc>
      </w:tr>
      <w:tr w:rsidR="00573399" w:rsidRPr="00DD2685" w:rsidTr="00DA6DD1">
        <w:trPr>
          <w:trHeight w:val="397"/>
        </w:trPr>
        <w:tc>
          <w:tcPr>
            <w:tcW w:w="1701" w:type="dxa"/>
            <w:tcBorders>
              <w:top w:val="nil"/>
              <w:left w:val="nil"/>
              <w:bottom w:val="single" w:sz="4" w:space="0" w:color="auto"/>
              <w:right w:val="nil"/>
            </w:tcBorders>
          </w:tcPr>
          <w:p w:rsidR="00573399" w:rsidRPr="00DD2685" w:rsidRDefault="00573399" w:rsidP="00DA6DD1">
            <w:pPr>
              <w:autoSpaceDE w:val="0"/>
              <w:autoSpaceDN w:val="0"/>
              <w:adjustRightInd w:val="0"/>
              <w:jc w:val="center"/>
            </w:pPr>
            <w:r w:rsidRPr="00DD2685">
              <w:rPr>
                <w:b/>
                <w:szCs w:val="22"/>
                <w:u w:val="single"/>
              </w:rPr>
              <w:t>5</w:t>
            </w:r>
          </w:p>
        </w:tc>
        <w:tc>
          <w:tcPr>
            <w:tcW w:w="2268" w:type="dxa"/>
            <w:tcBorders>
              <w:top w:val="nil"/>
              <w:left w:val="nil"/>
              <w:bottom w:val="single" w:sz="4" w:space="0" w:color="auto"/>
              <w:right w:val="nil"/>
            </w:tcBorders>
          </w:tcPr>
          <w:p w:rsidR="00573399" w:rsidRPr="00DD2685" w:rsidRDefault="00573399" w:rsidP="00DA6DD1">
            <w:pPr>
              <w:autoSpaceDE w:val="0"/>
              <w:autoSpaceDN w:val="0"/>
              <w:adjustRightInd w:val="0"/>
              <w:jc w:val="center"/>
            </w:pPr>
            <w:r w:rsidRPr="00DD2685">
              <w:rPr>
                <w:szCs w:val="22"/>
              </w:rPr>
              <w:t>0</w:t>
            </w:r>
          </w:p>
        </w:tc>
        <w:tc>
          <w:tcPr>
            <w:tcW w:w="3969" w:type="dxa"/>
            <w:tcBorders>
              <w:top w:val="nil"/>
              <w:left w:val="nil"/>
              <w:bottom w:val="single" w:sz="4" w:space="0" w:color="auto"/>
              <w:right w:val="nil"/>
            </w:tcBorders>
          </w:tcPr>
          <w:p w:rsidR="00573399" w:rsidRPr="00DD2685" w:rsidRDefault="00573399" w:rsidP="00DA6DD1">
            <w:pPr>
              <w:autoSpaceDE w:val="0"/>
              <w:autoSpaceDN w:val="0"/>
              <w:adjustRightInd w:val="0"/>
              <w:jc w:val="center"/>
            </w:pPr>
            <w:r w:rsidRPr="00DD2685">
              <w:rPr>
                <w:szCs w:val="22"/>
              </w:rPr>
              <w:t>0</w:t>
            </w:r>
          </w:p>
        </w:tc>
      </w:tr>
    </w:tbl>
    <w:p w:rsidR="00573399" w:rsidRPr="00DD2685" w:rsidRDefault="00573399" w:rsidP="00573399">
      <w:pPr>
        <w:autoSpaceDE w:val="0"/>
        <w:autoSpaceDN w:val="0"/>
        <w:adjustRightInd w:val="0"/>
        <w:jc w:val="both"/>
        <w:rPr>
          <w:szCs w:val="22"/>
          <w:u w:val="single"/>
        </w:rPr>
      </w:pPr>
    </w:p>
    <w:p w:rsidR="00573399" w:rsidRPr="00DD2685" w:rsidRDefault="00573399" w:rsidP="00573399">
      <w:pPr>
        <w:autoSpaceDE w:val="0"/>
        <w:autoSpaceDN w:val="0"/>
        <w:adjustRightInd w:val="0"/>
        <w:ind w:firstLine="708"/>
        <w:jc w:val="both"/>
        <w:rPr>
          <w:szCs w:val="22"/>
        </w:rPr>
      </w:pPr>
      <w:r w:rsidRPr="00DD2685">
        <w:rPr>
          <w:szCs w:val="22"/>
        </w:rPr>
        <w:t xml:space="preserve">De plus, en absence d'enzyme, on n'observe aucune apparition de radioactivité dans l'eau pour les substrats </w:t>
      </w:r>
      <w:r w:rsidRPr="00DD2685">
        <w:rPr>
          <w:b/>
          <w:szCs w:val="22"/>
          <w:u w:val="single"/>
        </w:rPr>
        <w:t>3</w:t>
      </w:r>
      <w:r w:rsidRPr="00DD2685">
        <w:rPr>
          <w:szCs w:val="22"/>
        </w:rPr>
        <w:t xml:space="preserve"> et </w:t>
      </w:r>
      <w:r w:rsidRPr="00DD2685">
        <w:rPr>
          <w:b/>
          <w:szCs w:val="22"/>
          <w:u w:val="single"/>
        </w:rPr>
        <w:t>5</w:t>
      </w:r>
      <w:r w:rsidRPr="00DD2685">
        <w:rPr>
          <w:szCs w:val="22"/>
        </w:rPr>
        <w:t xml:space="preserve">. </w:t>
      </w:r>
    </w:p>
    <w:p w:rsidR="00573399" w:rsidRPr="00DD2685" w:rsidRDefault="00573399" w:rsidP="00573399">
      <w:pPr>
        <w:autoSpaceDE w:val="0"/>
        <w:autoSpaceDN w:val="0"/>
        <w:adjustRightInd w:val="0"/>
        <w:ind w:firstLine="708"/>
        <w:jc w:val="both"/>
        <w:rPr>
          <w:szCs w:val="22"/>
        </w:rPr>
      </w:pPr>
    </w:p>
    <w:p w:rsidR="00573399" w:rsidRPr="00DD2685" w:rsidRDefault="00573399" w:rsidP="00573399">
      <w:pPr>
        <w:autoSpaceDE w:val="0"/>
        <w:autoSpaceDN w:val="0"/>
        <w:adjustRightInd w:val="0"/>
        <w:ind w:firstLine="708"/>
        <w:jc w:val="both"/>
        <w:rPr>
          <w:szCs w:val="22"/>
        </w:rPr>
      </w:pPr>
      <w:r w:rsidRPr="00DD2685">
        <w:rPr>
          <w:szCs w:val="22"/>
        </w:rPr>
        <w:t xml:space="preserve">II-2a. Que suggèrent ces expériences ? </w:t>
      </w:r>
    </w:p>
    <w:p w:rsidR="00573399" w:rsidRPr="00DD2685" w:rsidRDefault="00573399" w:rsidP="00573399">
      <w:pPr>
        <w:autoSpaceDE w:val="0"/>
        <w:autoSpaceDN w:val="0"/>
        <w:adjustRightInd w:val="0"/>
        <w:ind w:firstLine="708"/>
        <w:jc w:val="both"/>
        <w:rPr>
          <w:szCs w:val="22"/>
        </w:rPr>
      </w:pPr>
    </w:p>
    <w:p w:rsidR="00573399" w:rsidRPr="00DD2685" w:rsidRDefault="00573399" w:rsidP="00573399">
      <w:pPr>
        <w:autoSpaceDE w:val="0"/>
        <w:autoSpaceDN w:val="0"/>
        <w:adjustRightInd w:val="0"/>
        <w:ind w:firstLine="708"/>
        <w:jc w:val="both"/>
        <w:rPr>
          <w:szCs w:val="22"/>
        </w:rPr>
      </w:pPr>
      <w:r w:rsidRPr="00DD2685">
        <w:rPr>
          <w:szCs w:val="22"/>
        </w:rPr>
        <w:t xml:space="preserve">II-2b. Proposez un mécanisme ionique pour la réaction d'oxydation du </w:t>
      </w:r>
      <w:proofErr w:type="spellStart"/>
      <w:r w:rsidRPr="00DD2685">
        <w:rPr>
          <w:szCs w:val="22"/>
        </w:rPr>
        <w:t>butyryl-CoA</w:t>
      </w:r>
      <w:proofErr w:type="spellEnd"/>
      <w:r w:rsidRPr="00DD2685">
        <w:rPr>
          <w:szCs w:val="22"/>
        </w:rPr>
        <w:t xml:space="preserve">. Expliquez pourquoi l'hydrogène en position 3 du </w:t>
      </w:r>
      <w:proofErr w:type="spellStart"/>
      <w:r w:rsidRPr="00DD2685">
        <w:rPr>
          <w:szCs w:val="22"/>
        </w:rPr>
        <w:t>butyryl-CoA</w:t>
      </w:r>
      <w:proofErr w:type="spellEnd"/>
      <w:r w:rsidRPr="00DD2685">
        <w:rPr>
          <w:szCs w:val="22"/>
        </w:rPr>
        <w:t xml:space="preserve"> se retrouve dans l'eau. </w:t>
      </w:r>
    </w:p>
    <w:p w:rsidR="00573399" w:rsidRPr="00DD2685" w:rsidRDefault="00573399" w:rsidP="00573399">
      <w:pPr>
        <w:autoSpaceDE w:val="0"/>
        <w:autoSpaceDN w:val="0"/>
        <w:adjustRightInd w:val="0"/>
        <w:jc w:val="both"/>
        <w:rPr>
          <w:szCs w:val="22"/>
        </w:rPr>
      </w:pPr>
    </w:p>
    <w:p w:rsidR="00573399" w:rsidRPr="00DD2685" w:rsidRDefault="00573399" w:rsidP="00573399">
      <w:pPr>
        <w:autoSpaceDE w:val="0"/>
        <w:autoSpaceDN w:val="0"/>
        <w:adjustRightInd w:val="0"/>
        <w:jc w:val="both"/>
        <w:rPr>
          <w:szCs w:val="22"/>
        </w:rPr>
      </w:pPr>
      <w:r w:rsidRPr="00DD2685">
        <w:rPr>
          <w:szCs w:val="22"/>
        </w:rPr>
        <w:t xml:space="preserve">II-3. L'analogue </w:t>
      </w:r>
      <w:r w:rsidRPr="00DD2685">
        <w:rPr>
          <w:b/>
          <w:szCs w:val="22"/>
          <w:u w:val="single"/>
        </w:rPr>
        <w:t>7</w:t>
      </w:r>
      <w:r w:rsidRPr="00DD2685">
        <w:rPr>
          <w:szCs w:val="22"/>
        </w:rPr>
        <w:t xml:space="preserve"> suivant est un inhibiteur irréversible de la </w:t>
      </w:r>
      <w:proofErr w:type="spellStart"/>
      <w:r w:rsidRPr="00DD2685">
        <w:rPr>
          <w:szCs w:val="22"/>
        </w:rPr>
        <w:t>butyryl-CoA</w:t>
      </w:r>
      <w:proofErr w:type="spellEnd"/>
      <w:r w:rsidRPr="00DD2685">
        <w:rPr>
          <w:szCs w:val="22"/>
        </w:rPr>
        <w:t xml:space="preserve"> déshydrogénase. </w:t>
      </w:r>
    </w:p>
    <w:p w:rsidR="00573399" w:rsidRPr="00DD2685" w:rsidRDefault="00573399" w:rsidP="00573399">
      <w:pPr>
        <w:autoSpaceDE w:val="0"/>
        <w:autoSpaceDN w:val="0"/>
        <w:adjustRightInd w:val="0"/>
        <w:jc w:val="both"/>
        <w:rPr>
          <w:szCs w:val="22"/>
        </w:rPr>
      </w:pPr>
    </w:p>
    <w:p w:rsidR="00573399" w:rsidRPr="00DD2685" w:rsidRDefault="00573399" w:rsidP="00573399">
      <w:pPr>
        <w:autoSpaceDE w:val="0"/>
        <w:autoSpaceDN w:val="0"/>
        <w:adjustRightInd w:val="0"/>
        <w:jc w:val="center"/>
        <w:rPr>
          <w:szCs w:val="22"/>
        </w:rPr>
      </w:pPr>
      <w:r w:rsidRPr="00DD2685">
        <w:rPr>
          <w:noProof/>
          <w:szCs w:val="22"/>
        </w:rPr>
        <w:drawing>
          <wp:inline distT="0" distB="0" distL="0" distR="0" wp14:anchorId="45EC8B5B" wp14:editId="1EAAFAED">
            <wp:extent cx="1604010" cy="84201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4010" cy="842010"/>
                    </a:xfrm>
                    <a:prstGeom prst="rect">
                      <a:avLst/>
                    </a:prstGeom>
                    <a:noFill/>
                    <a:ln>
                      <a:noFill/>
                    </a:ln>
                  </pic:spPr>
                </pic:pic>
              </a:graphicData>
            </a:graphic>
          </wp:inline>
        </w:drawing>
      </w:r>
    </w:p>
    <w:p w:rsidR="00573399" w:rsidRPr="00DD2685" w:rsidRDefault="00573399" w:rsidP="00573399">
      <w:pPr>
        <w:autoSpaceDE w:val="0"/>
        <w:autoSpaceDN w:val="0"/>
        <w:adjustRightInd w:val="0"/>
        <w:jc w:val="both"/>
        <w:rPr>
          <w:szCs w:val="22"/>
        </w:rPr>
      </w:pPr>
    </w:p>
    <w:p w:rsidR="00573399" w:rsidRPr="00DD2685" w:rsidRDefault="00573399" w:rsidP="00573399">
      <w:pPr>
        <w:autoSpaceDE w:val="0"/>
        <w:autoSpaceDN w:val="0"/>
        <w:adjustRightInd w:val="0"/>
        <w:ind w:firstLine="708"/>
        <w:jc w:val="both"/>
        <w:rPr>
          <w:bCs/>
          <w:szCs w:val="20"/>
        </w:rPr>
      </w:pPr>
      <w:r w:rsidRPr="00DD2685">
        <w:rPr>
          <w:bCs/>
          <w:szCs w:val="20"/>
        </w:rPr>
        <w:t xml:space="preserve">L'étude complète de l'inhibition </w:t>
      </w:r>
      <w:r w:rsidRPr="00DD2685">
        <w:rPr>
          <w:szCs w:val="20"/>
        </w:rPr>
        <w:t xml:space="preserve">a </w:t>
      </w:r>
      <w:r w:rsidRPr="00DD2685">
        <w:rPr>
          <w:bCs/>
          <w:szCs w:val="20"/>
        </w:rPr>
        <w:t xml:space="preserve">montré qu'un résidu glutamique était piégé lors de l'inactivation. </w:t>
      </w:r>
    </w:p>
    <w:p w:rsidR="00573399" w:rsidRPr="00DD2685" w:rsidRDefault="00573399" w:rsidP="00573399">
      <w:pPr>
        <w:autoSpaceDE w:val="0"/>
        <w:autoSpaceDN w:val="0"/>
        <w:adjustRightInd w:val="0"/>
        <w:ind w:firstLine="708"/>
        <w:jc w:val="both"/>
        <w:rPr>
          <w:bCs/>
          <w:szCs w:val="20"/>
        </w:rPr>
      </w:pPr>
    </w:p>
    <w:p w:rsidR="00573399" w:rsidRPr="00DD2685" w:rsidRDefault="00573399" w:rsidP="00573399">
      <w:pPr>
        <w:autoSpaceDE w:val="0"/>
        <w:autoSpaceDN w:val="0"/>
        <w:adjustRightInd w:val="0"/>
        <w:ind w:firstLine="708"/>
        <w:jc w:val="both"/>
        <w:rPr>
          <w:bCs/>
          <w:szCs w:val="20"/>
        </w:rPr>
      </w:pPr>
      <w:r w:rsidRPr="00DD2685">
        <w:rPr>
          <w:szCs w:val="22"/>
        </w:rPr>
        <w:t xml:space="preserve">II-3a. </w:t>
      </w:r>
      <w:r w:rsidRPr="00DD2685">
        <w:rPr>
          <w:bCs/>
          <w:szCs w:val="20"/>
        </w:rPr>
        <w:t xml:space="preserve">Proposez un mécanisme d'inhibition et le rôle probable du résidu glutamique dans la catalyse. </w:t>
      </w:r>
    </w:p>
    <w:p w:rsidR="00573399" w:rsidRPr="00DD2685" w:rsidRDefault="00573399" w:rsidP="00573399">
      <w:pPr>
        <w:jc w:val="both"/>
      </w:pPr>
    </w:p>
    <w:p w:rsidR="00573399" w:rsidRPr="00DD2685" w:rsidRDefault="00573399" w:rsidP="00573399"/>
    <w:p w:rsidR="008035AD" w:rsidRDefault="0056007B"/>
    <w:sectPr w:rsidR="008035AD" w:rsidSect="00573399">
      <w:pgSz w:w="12240" w:h="15840"/>
      <w:pgMar w:top="851"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99"/>
    <w:rsid w:val="00050760"/>
    <w:rsid w:val="0026256B"/>
    <w:rsid w:val="00310CA8"/>
    <w:rsid w:val="00435555"/>
    <w:rsid w:val="004B33B4"/>
    <w:rsid w:val="0056007B"/>
    <w:rsid w:val="00573399"/>
    <w:rsid w:val="006F79B8"/>
    <w:rsid w:val="007F4BA0"/>
    <w:rsid w:val="00917427"/>
    <w:rsid w:val="00C625CB"/>
    <w:rsid w:val="00C9578B"/>
    <w:rsid w:val="00D6010D"/>
    <w:rsid w:val="00EB3E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9123"/>
  <w15:chartTrackingRefBased/>
  <w15:docId w15:val="{E8EBBB1F-656A-9947-B33A-69614BE2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399"/>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73399"/>
    <w:rPr>
      <w:rFonts w:ascii="Times New Roman" w:eastAsia="Times New Roman" w:hAnsi="Times New Roman" w:cs="Times New Roman"/>
      <w:sz w:val="20"/>
      <w:szCs w:val="20"/>
      <w:lang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1763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Mahy</dc:creator>
  <cp:keywords/>
  <dc:description/>
  <cp:lastModifiedBy>Jean-Pierre Mahy</cp:lastModifiedBy>
  <cp:revision>2</cp:revision>
  <dcterms:created xsi:type="dcterms:W3CDTF">2019-12-17T09:33:00Z</dcterms:created>
  <dcterms:modified xsi:type="dcterms:W3CDTF">2019-12-17T09:37:00Z</dcterms:modified>
</cp:coreProperties>
</file>