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0DE" w:rsidRDefault="004C620E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0DE" w:rsidRDefault="004C620E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BF49F7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BF49F7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AB70DE" w:rsidRDefault="004C620E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AB70DE" w:rsidRDefault="004C620E">
      <w:pPr>
        <w:pStyle w:val="Titre6"/>
      </w:pPr>
      <w:r>
        <w:rPr>
          <w:rFonts w:ascii="Arial Narrow" w:hAnsi="Arial Narrow" w:cs="Arial"/>
          <w:sz w:val="22"/>
          <w:szCs w:val="22"/>
          <w:highlight w:val="yellow"/>
        </w:rPr>
        <w:t xml:space="preserve">PARCOURS 8: </w:t>
      </w:r>
      <w:r>
        <w:rPr>
          <w:rStyle w:val="Accentuationforte"/>
          <w:rFonts w:ascii="Arial Narrow" w:hAnsi="Arial Narrow" w:cs="Arial"/>
          <w:sz w:val="22"/>
          <w:szCs w:val="22"/>
          <w:highlight w:val="yellow"/>
        </w:rPr>
        <w:t>TOXICOLOGIE HUMAINE, ÉVALUATION DES RISQUES ET VIGILANCE</w:t>
      </w:r>
    </w:p>
    <w:p w:rsidR="00AB70DE" w:rsidRPr="00F33314" w:rsidRDefault="00B351F1">
      <w:pPr>
        <w:pStyle w:val="Corpsdetexte"/>
      </w:pPr>
      <w:r w:rsidRPr="00F33314">
        <w:rPr>
          <w:rFonts w:ascii="Arial Narrow" w:hAnsi="Arial Narrow"/>
          <w:b w:val="0"/>
          <w:bCs w:val="0"/>
          <w:sz w:val="22"/>
          <w:szCs w:val="22"/>
        </w:rPr>
        <w:t>Responsable : Kevin HARDONNIERE</w:t>
      </w:r>
      <w:r w:rsidR="00410615" w:rsidRPr="00F33314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410615" w:rsidRPr="00F33314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kevin.hardonniere@universite-paris-saclay.fr</w:t>
        </w:r>
      </w:hyperlink>
      <w:r w:rsidR="00410615" w:rsidRPr="00F33314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AB70DE" w:rsidRPr="00F33314" w:rsidRDefault="00AB70DE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AB70DE" w:rsidRPr="004C620E" w:rsidRDefault="004C620E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 w:rsidRPr="004C620E">
        <w:rPr>
          <w:rFonts w:ascii="Arial Narrow" w:hAnsi="Arial Narrow"/>
          <w:sz w:val="20"/>
          <w:szCs w:val="20"/>
        </w:rPr>
        <w:t>NOM :</w:t>
      </w:r>
      <w:r w:rsidRPr="004C620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2384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2384B">
        <w:rPr>
          <w:rFonts w:ascii="Arial Narrow" w:hAnsi="Arial Narrow"/>
          <w:sz w:val="20"/>
          <w:szCs w:val="20"/>
        </w:rPr>
        <w:tab/>
      </w:r>
      <w:r w:rsidRPr="004C620E">
        <w:rPr>
          <w:rFonts w:ascii="Arial Narrow" w:hAnsi="Arial Narrow"/>
          <w:sz w:val="20"/>
          <w:szCs w:val="20"/>
        </w:rPr>
        <w:t>PRÉNOM :</w:t>
      </w:r>
    </w:p>
    <w:p w:rsidR="00AB70DE" w:rsidRPr="004C620E" w:rsidRDefault="00AB70DE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AB70DE" w:rsidRPr="004C620E" w:rsidRDefault="004C620E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 w:rsidRPr="004C620E">
        <w:rPr>
          <w:rFonts w:ascii="Arial Narrow" w:hAnsi="Arial Narrow"/>
          <w:sz w:val="20"/>
          <w:szCs w:val="20"/>
        </w:rPr>
        <w:t>N° ÉTUDIANT :</w:t>
      </w:r>
      <w:r w:rsidRPr="004C620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2384B">
        <w:rPr>
          <w:rFonts w:ascii="Arial Narrow" w:hAnsi="Arial Narrow"/>
          <w:sz w:val="20"/>
          <w:szCs w:val="20"/>
        </w:rPr>
        <w:tab/>
      </w:r>
      <w:r w:rsidR="0022384B">
        <w:rPr>
          <w:rFonts w:ascii="Arial Narrow" w:hAnsi="Arial Narrow"/>
          <w:sz w:val="20"/>
          <w:szCs w:val="20"/>
        </w:rPr>
        <w:tab/>
      </w:r>
      <w:r w:rsidRPr="004C620E">
        <w:rPr>
          <w:rFonts w:ascii="Arial Narrow" w:hAnsi="Arial Narrow"/>
          <w:sz w:val="20"/>
          <w:szCs w:val="20"/>
        </w:rPr>
        <w:t>TÉL PORTABLE :</w:t>
      </w:r>
    </w:p>
    <w:p w:rsidR="00AB70DE" w:rsidRPr="004C620E" w:rsidRDefault="00AB70DE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AB70DE" w:rsidRPr="004C620E" w:rsidRDefault="00410615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4C620E" w:rsidRPr="004C620E">
        <w:rPr>
          <w:rFonts w:ascii="Arial Narrow" w:hAnsi="Arial Narrow"/>
          <w:sz w:val="20"/>
          <w:szCs w:val="20"/>
        </w:rPr>
        <w:t> :</w:t>
      </w:r>
      <w:r w:rsidR="004C620E" w:rsidRPr="004C620E">
        <w:rPr>
          <w:rFonts w:ascii="Arial Narrow" w:hAnsi="Arial Narrow"/>
          <w:sz w:val="20"/>
          <w:szCs w:val="20"/>
        </w:rPr>
        <w:tab/>
      </w:r>
      <w:r w:rsidR="004C620E">
        <w:rPr>
          <w:rFonts w:ascii="Arial Narrow" w:hAnsi="Arial Narrow"/>
          <w:sz w:val="20"/>
          <w:szCs w:val="20"/>
        </w:rPr>
        <w:tab/>
      </w:r>
      <w:r w:rsidR="004C620E">
        <w:rPr>
          <w:rFonts w:ascii="Arial Narrow" w:hAnsi="Arial Narrow"/>
          <w:sz w:val="20"/>
          <w:szCs w:val="20"/>
        </w:rPr>
        <w:tab/>
      </w:r>
      <w:r w:rsidR="0022384B">
        <w:rPr>
          <w:rFonts w:ascii="Arial Narrow" w:hAnsi="Arial Narrow"/>
          <w:sz w:val="20"/>
          <w:szCs w:val="20"/>
        </w:rPr>
        <w:tab/>
      </w:r>
      <w:r w:rsidR="0022384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4C620E" w:rsidRPr="004C620E">
        <w:rPr>
          <w:rFonts w:ascii="Arial Narrow" w:hAnsi="Arial Narrow"/>
          <w:sz w:val="20"/>
          <w:szCs w:val="20"/>
        </w:rPr>
        <w:t> :</w:t>
      </w:r>
    </w:p>
    <w:p w:rsidR="00AB70DE" w:rsidRDefault="00AB70DE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4425"/>
        <w:gridCol w:w="2072"/>
        <w:gridCol w:w="1113"/>
        <w:gridCol w:w="1618"/>
        <w:gridCol w:w="1058"/>
      </w:tblGrid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AB70DE" w:rsidTr="009F023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77" w:rsidRDefault="00596377" w:rsidP="00596377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AB70DE" w:rsidRDefault="00596377" w:rsidP="00596377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Principes généraux et mécanismes d’action en Pharmacologie, Pharmacocinétique et Toxicologie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17" w:rsidRDefault="00972D17" w:rsidP="00972D17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BARRAIL-TRAN</w:t>
            </w:r>
          </w:p>
          <w:p w:rsidR="00AB70DE" w:rsidRPr="00E30689" w:rsidRDefault="00972D17" w:rsidP="00972D17">
            <w:pPr>
              <w:ind w:left="720" w:hanging="720"/>
              <w:rPr>
                <w:rFonts w:ascii="Arial Narrow" w:hAnsi="Arial Narrow"/>
                <w:sz w:val="20"/>
                <w:szCs w:val="20"/>
              </w:rPr>
            </w:pPr>
            <w:r w:rsidRPr="00E30689">
              <w:rPr>
                <w:rFonts w:ascii="Arial Narrow" w:hAnsi="Arial Narrow"/>
                <w:sz w:val="20"/>
                <w:szCs w:val="20"/>
              </w:rPr>
              <w:t>K. HARDONNIERE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</w:t>
            </w:r>
            <w:r w:rsidR="00F3331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9F023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  <w:jc w:val="left"/>
            </w:pPr>
            <w:r w:rsidRPr="00410615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3 UEM parmi les 6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Bases mol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éculaires des interactions au sein du vivant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Pr="00596377" w:rsidRDefault="002C484C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59637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MF. BERNET-CAMARD</w:t>
            </w:r>
          </w:p>
          <w:p w:rsidR="002C484C" w:rsidRPr="002C484C" w:rsidRDefault="002C484C">
            <w:pPr>
              <w:pStyle w:val="Corpsdetexte"/>
              <w:jc w:val="left"/>
              <w:rPr>
                <w:sz w:val="16"/>
                <w:szCs w:val="16"/>
              </w:rPr>
            </w:pPr>
            <w:r w:rsidRPr="00596377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S. DELARUE-COCHIN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AB70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 cellule , unité fonctionnelle du vivant : du fondamental à la physiopathologie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J. SABOURIN</w:t>
            </w:r>
          </w:p>
          <w:p w:rsidR="00AB70DE" w:rsidRDefault="004C620E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B. BENOIT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AB70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916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AB70DE" w:rsidRDefault="004C620E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AB70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PONCHEL</w:t>
            </w:r>
          </w:p>
          <w:p w:rsidR="002C484C" w:rsidRDefault="002C484C">
            <w:r>
              <w:rPr>
                <w:rFonts w:ascii="Arial Narrow" w:hAnsi="Arial Narrow" w:cs="Arial"/>
                <w:sz w:val="20"/>
                <w:szCs w:val="20"/>
              </w:rPr>
              <w:t>E. BERBEL-MANAIA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AB70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Initiation à la découverte de médicaments : les défis du 21è siècle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HAMZE</w:t>
            </w:r>
          </w:p>
          <w:p w:rsidR="00AB70DE" w:rsidRDefault="004C620E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T. HA DUONG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AB70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921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Analyse statistique en exp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érimentation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r>
              <w:rPr>
                <w:rFonts w:ascii="Arial Narrow" w:hAnsi="Arial Narrow" w:cs="Arial"/>
                <w:sz w:val="20"/>
                <w:szCs w:val="20"/>
              </w:rPr>
              <w:t>A. BENMALEK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A4921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AB70DE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9F023F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K. HARDONNIERE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AB70DE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743666" w:rsidP="002C484C">
            <w:pPr>
              <w:pStyle w:val="Corpsdetexte"/>
              <w:jc w:val="left"/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DE" w:rsidRDefault="004C620E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F023F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édicament" - approche par projet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1E" w:rsidRDefault="008C561E" w:rsidP="008C561E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:rsidR="009F023F" w:rsidRDefault="008C561E" w:rsidP="008C561E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F023F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920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Méthodes pour l’évaluation toxicologique des produits de santé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K. HARDONNIERE</w:t>
            </w:r>
          </w:p>
          <w:p w:rsidR="009F023F" w:rsidRDefault="009F023F" w:rsidP="009F023F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M. PALLARDY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F023F" w:rsidTr="009F023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  <w:jc w:val="left"/>
            </w:pPr>
            <w:r w:rsidRPr="00410615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1 UEM parmi les 3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9F023F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904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énérer, Organiser, analyser et extraire l'information pertinente des données expérimentales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9F023F" w:rsidRDefault="009F023F" w:rsidP="009F023F"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F023F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913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Pharmacologie préclinique, clinique et Pharmacocinétique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 GARDIER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F023F" w:rsidTr="00743666">
        <w:trPr>
          <w:trHeight w:hRule="exact" w:val="454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915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</w:p>
          <w:p w:rsidR="002C484C" w:rsidRDefault="002C484C" w:rsidP="009F023F">
            <w:r>
              <w:rPr>
                <w:rFonts w:ascii="Arial Narrow" w:hAnsi="Arial Narrow" w:cs="Arial"/>
                <w:sz w:val="20"/>
                <w:szCs w:val="20"/>
              </w:rPr>
              <w:t>JP. GUILLOUX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9F023F" w:rsidTr="009F023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9F023F" w:rsidTr="009F023F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3F" w:rsidRDefault="009F023F" w:rsidP="009F023F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AB70DE" w:rsidRDefault="004C620E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410615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</w:p>
    <w:p w:rsidR="00BF49F7" w:rsidRDefault="00BF49F7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410615" w:rsidRDefault="00410615">
      <w:pPr>
        <w:pStyle w:val="Corpsdetexte"/>
        <w:jc w:val="left"/>
      </w:pPr>
    </w:p>
    <w:p w:rsidR="00AB70DE" w:rsidRDefault="004C620E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410615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AB70DE" w:rsidRDefault="00AB70DE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410615" w:rsidRDefault="00410615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743666" w:rsidRDefault="0074366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743666">
      <w:headerReference w:type="default" r:id="rId9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76" w:rsidRDefault="004C620E">
      <w:r>
        <w:separator/>
      </w:r>
    </w:p>
  </w:endnote>
  <w:endnote w:type="continuationSeparator" w:id="0">
    <w:p w:rsidR="00E00A76" w:rsidRDefault="004C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76" w:rsidRDefault="004C620E">
      <w:r>
        <w:separator/>
      </w:r>
    </w:p>
  </w:footnote>
  <w:footnote w:type="continuationSeparator" w:id="0">
    <w:p w:rsidR="00E00A76" w:rsidRDefault="004C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93D" w:rsidRDefault="004C620E" w:rsidP="0006493D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06493D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2036" r:id="rId2"/>
      </w:object>
    </w:r>
  </w:p>
  <w:p w:rsidR="00AB70DE" w:rsidRDefault="00AB70DE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15FA"/>
    <w:multiLevelType w:val="hybridMultilevel"/>
    <w:tmpl w:val="75A82694"/>
    <w:lvl w:ilvl="0" w:tplc="A354535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5AF"/>
    <w:multiLevelType w:val="hybridMultilevel"/>
    <w:tmpl w:val="0728CBEA"/>
    <w:lvl w:ilvl="0" w:tplc="28A0D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C0956"/>
    <w:multiLevelType w:val="hybridMultilevel"/>
    <w:tmpl w:val="080283F4"/>
    <w:lvl w:ilvl="0" w:tplc="CAF0F1A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DE"/>
    <w:rsid w:val="0006493D"/>
    <w:rsid w:val="0022384B"/>
    <w:rsid w:val="002C484C"/>
    <w:rsid w:val="00410615"/>
    <w:rsid w:val="00423642"/>
    <w:rsid w:val="004C620E"/>
    <w:rsid w:val="00596377"/>
    <w:rsid w:val="006E578F"/>
    <w:rsid w:val="00743666"/>
    <w:rsid w:val="008C561E"/>
    <w:rsid w:val="00972D17"/>
    <w:rsid w:val="009F023F"/>
    <w:rsid w:val="00AB70DE"/>
    <w:rsid w:val="00AC66D7"/>
    <w:rsid w:val="00B351F1"/>
    <w:rsid w:val="00BF49F7"/>
    <w:rsid w:val="00BF613E"/>
    <w:rsid w:val="00CD6A51"/>
    <w:rsid w:val="00E00A76"/>
    <w:rsid w:val="00E30689"/>
    <w:rsid w:val="00F33314"/>
    <w:rsid w:val="00F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16E437FA-7F1F-479B-863A-9E1D1E12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972D17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596377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41061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0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hardonniere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16</cp:revision>
  <cp:lastPrinted>2016-07-26T12:47:00Z</cp:lastPrinted>
  <dcterms:created xsi:type="dcterms:W3CDTF">2020-07-09T14:35:00Z</dcterms:created>
  <dcterms:modified xsi:type="dcterms:W3CDTF">2023-07-25T15:40:00Z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