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F8" w:rsidRDefault="00B23823" w:rsidP="001A21F8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Proposition de programme PPEI – L3 ES semaine 20 et 21</w:t>
      </w: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800"/>
      </w:tblGrid>
      <w:tr w:rsidR="008B064E" w:rsidRPr="008B064E" w:rsidTr="008B064E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64E" w:rsidRPr="008B064E" w:rsidRDefault="008B064E" w:rsidP="008B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064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Zakaria </w:t>
            </w:r>
            <w:proofErr w:type="spellStart"/>
            <w:r w:rsidRPr="008B064E">
              <w:rPr>
                <w:rFonts w:ascii="Calibri" w:eastAsia="Times New Roman" w:hAnsi="Calibri" w:cs="Calibri"/>
                <w:color w:val="000000"/>
                <w:lang w:eastAsia="fr-FR"/>
              </w:rPr>
              <w:t>Labsy</w:t>
            </w:r>
            <w:proofErr w:type="spellEnd"/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64E" w:rsidRPr="008B064E" w:rsidRDefault="008B064E" w:rsidP="008B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064E">
              <w:rPr>
                <w:rFonts w:ascii="Calibri" w:eastAsia="Times New Roman" w:hAnsi="Calibri" w:cs="Calibri"/>
                <w:color w:val="000000"/>
                <w:lang w:eastAsia="fr-FR"/>
              </w:rPr>
              <w:t>zakaria.labsy@universite-paris-saclay.fr</w:t>
            </w:r>
          </w:p>
        </w:tc>
      </w:tr>
    </w:tbl>
    <w:p w:rsidR="005E2229" w:rsidRDefault="005E2229" w:rsidP="001A21F8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180811" w:rsidRDefault="00155656" w:rsidP="00494AE8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Alexandre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Marchadour</w:t>
      </w:r>
      <w:proofErr w:type="spellEnd"/>
      <w:r w:rsidR="008B064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8B064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="008E75CA" w:rsidRPr="008E75C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alexandre.marchadour@gmail.com&gt;;</w:t>
      </w:r>
    </w:p>
    <w:p w:rsidR="001A21F8" w:rsidRDefault="001A21F8" w:rsidP="00494AE8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E2229" w:rsidRDefault="001A21F8" w:rsidP="001A21F8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fr-FR"/>
        </w:rPr>
      </w:pPr>
      <w:r w:rsidRPr="001A21F8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fr-FR"/>
        </w:rPr>
        <w:t>"Maîtrise des nouvelles technologies</w:t>
      </w:r>
      <w:r w:rsidR="002B50A2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fr-FR"/>
        </w:rPr>
        <w:t>, méthodologie de l’entraînement</w:t>
      </w:r>
      <w:r w:rsidRPr="001A21F8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fr-FR"/>
        </w:rPr>
        <w:t xml:space="preserve"> et </w:t>
      </w:r>
    </w:p>
    <w:p w:rsidR="001A21F8" w:rsidRPr="001A21F8" w:rsidRDefault="001A21F8" w:rsidP="001A21F8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fr-FR"/>
        </w:rPr>
      </w:pPr>
      <w:proofErr w:type="gramStart"/>
      <w:r w:rsidRPr="001A21F8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fr-FR"/>
        </w:rPr>
        <w:t>optimisation</w:t>
      </w:r>
      <w:proofErr w:type="gramEnd"/>
      <w:r w:rsidRPr="001A21F8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fr-FR"/>
        </w:rPr>
        <w:t xml:space="preserve"> de la performance sportive".</w:t>
      </w:r>
    </w:p>
    <w:p w:rsidR="00321EED" w:rsidRDefault="00321EED" w:rsidP="00494AE8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0" w:name="_GoBack"/>
      <w:bookmarkEnd w:id="0"/>
    </w:p>
    <w:p w:rsidR="00494AE8" w:rsidRDefault="00DB3DEF" w:rsidP="00DB3DE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DB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Le but de l’enseignement </w:t>
      </w:r>
    </w:p>
    <w:p w:rsidR="00DB3DEF" w:rsidRDefault="00DB3DEF" w:rsidP="00DB3DE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BC49B5" w:rsidRDefault="00DB3DEF" w:rsidP="00F4234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B3DE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  <w:r w:rsidR="00BC49B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 </w:t>
      </w:r>
      <w:r w:rsidRPr="00DB3DE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enseignement</w:t>
      </w:r>
      <w:r w:rsidR="00BC49B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pour </w:t>
      </w:r>
      <w:r w:rsidR="00131A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but</w:t>
      </w:r>
      <w:r w:rsidR="00BC49B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sensibiliser les étudiants à l’adaptation </w:t>
      </w:r>
      <w:r w:rsidR="00131A3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aux nouveaux métiers de la performance sportive et </w:t>
      </w:r>
      <w:r w:rsidR="00BC49B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aux nouvelles méthodologies de l’entraînement </w:t>
      </w:r>
      <w:r w:rsidR="00F4234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avec l’aide d’</w:t>
      </w:r>
      <w:r w:rsidR="00BC49B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outils de nouvelles technologies sur le terrain et en laboratoire.</w:t>
      </w:r>
    </w:p>
    <w:p w:rsidR="00131A34" w:rsidRDefault="00131A34" w:rsidP="00BC49B5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21EED" w:rsidRPr="00725168" w:rsidRDefault="00131A34" w:rsidP="00725168">
      <w:pPr>
        <w:pStyle w:val="Paragraphedeliste"/>
        <w:numPr>
          <w:ilvl w:val="0"/>
          <w:numId w:val="2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</w:t>
      </w:r>
      <w:r w:rsidR="00C0437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étudiants manipuleront et découvriront</w:t>
      </w:r>
      <w:r w:rsidR="00321E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des outils d’analyse et d’observation liés à l’optimisation de la performance et à la prophylaxie</w:t>
      </w:r>
      <w:r w:rsidR="007251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25168" w:rsidRPr="0028130F">
        <w:rPr>
          <w:rFonts w:asciiTheme="majorBidi" w:hAnsiTheme="majorBidi" w:cstheme="majorBidi"/>
          <w:lang w:eastAsia="fr-FR"/>
        </w:rPr>
        <w:t>(c'est-à-dire le suivi et l'intervention).</w:t>
      </w:r>
    </w:p>
    <w:p w:rsidR="00725168" w:rsidRDefault="00725168" w:rsidP="00321EE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8130F" w:rsidRDefault="00131A34" w:rsidP="00321EE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s’agit de</w:t>
      </w:r>
      <w:r w:rsid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28130F" w:rsidRP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savoir</w:t>
      </w:r>
      <w:r w:rsid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:</w:t>
      </w:r>
    </w:p>
    <w:p w:rsidR="0028130F" w:rsidRPr="00725168" w:rsidRDefault="0028130F" w:rsidP="00725168">
      <w:pPr>
        <w:pStyle w:val="Paragraphedeliste"/>
        <w:numPr>
          <w:ilvl w:val="0"/>
          <w:numId w:val="2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</w:t>
      </w:r>
      <w:r w:rsidR="00EF5520" w:rsidRP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aire du monitoring (le suivi assisté de l’athlète), </w:t>
      </w:r>
      <w:r w:rsidR="00DB3DEF" w:rsidRP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diriger, gérer et fournir les services scientifiques </w:t>
      </w:r>
      <w:r w:rsidR="007251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 </w:t>
      </w:r>
      <w:r w:rsidR="00DB3DEF" w:rsidRP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sportifs pour le développement des performances des </w:t>
      </w:r>
      <w:r w:rsidR="00321EED" w:rsidRP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individus ou</w:t>
      </w:r>
      <w:r w:rsidR="00DB3DEF" w:rsidRP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d’une équipe </w:t>
      </w:r>
      <w:r w:rsidR="007251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sein</w:t>
      </w:r>
      <w:r w:rsidR="00DB3DEF" w:rsidRPr="002813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d’une institution sportive</w:t>
      </w:r>
      <w:r w:rsidR="007251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FB565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professionnelle </w:t>
      </w:r>
      <w:r w:rsidR="00725168" w:rsidRPr="0028130F">
        <w:rPr>
          <w:rFonts w:asciiTheme="majorBidi" w:hAnsiTheme="majorBidi" w:cstheme="majorBidi"/>
          <w:lang w:eastAsia="fr-FR"/>
        </w:rPr>
        <w:t xml:space="preserve">(par exemple, </w:t>
      </w:r>
      <w:r w:rsidR="00FB5653">
        <w:rPr>
          <w:rFonts w:asciiTheme="majorBidi" w:hAnsiTheme="majorBidi" w:cstheme="majorBidi"/>
          <w:lang w:eastAsia="fr-FR"/>
        </w:rPr>
        <w:t xml:space="preserve">la </w:t>
      </w:r>
      <w:r w:rsidR="00725168" w:rsidRPr="0028130F">
        <w:rPr>
          <w:rFonts w:asciiTheme="majorBidi" w:hAnsiTheme="majorBidi" w:cstheme="majorBidi"/>
          <w:lang w:eastAsia="fr-FR"/>
        </w:rPr>
        <w:t>charge de travail, GPS et surveillance de la fréquence cardiaque)</w:t>
      </w:r>
      <w:r w:rsidR="007251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</w:p>
    <w:p w:rsidR="0028130F" w:rsidRPr="00FB5653" w:rsidRDefault="0028130F" w:rsidP="00FB565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B565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r w:rsidR="00321EED" w:rsidRPr="00FB565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rienter</w:t>
      </w:r>
      <w:r w:rsidR="00DB3DEF" w:rsidRPr="00FB565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 développement et les résultats vers la performance.</w:t>
      </w:r>
    </w:p>
    <w:p w:rsidR="0028130F" w:rsidRPr="00FB5653" w:rsidRDefault="0028130F" w:rsidP="0028130F">
      <w:pPr>
        <w:pStyle w:val="Paragraphedeliste"/>
        <w:numPr>
          <w:ilvl w:val="0"/>
          <w:numId w:val="2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Theme="majorBidi" w:hAnsiTheme="majorBidi" w:cstheme="majorBidi"/>
          <w:lang w:eastAsia="fr-FR"/>
        </w:rPr>
        <w:t>A</w:t>
      </w:r>
      <w:r w:rsidR="00DB3DEF" w:rsidRPr="0028130F">
        <w:rPr>
          <w:rFonts w:asciiTheme="majorBidi" w:hAnsiTheme="majorBidi" w:cstheme="majorBidi"/>
          <w:lang w:eastAsia="fr-FR"/>
        </w:rPr>
        <w:t xml:space="preserve">ssurer la liaison quotidienne </w:t>
      </w:r>
      <w:r w:rsidR="00321EED" w:rsidRPr="0028130F">
        <w:rPr>
          <w:rFonts w:asciiTheme="majorBidi" w:hAnsiTheme="majorBidi" w:cstheme="majorBidi"/>
          <w:lang w:eastAsia="fr-FR"/>
        </w:rPr>
        <w:t>en équipe</w:t>
      </w:r>
      <w:r w:rsidR="00DB3DEF" w:rsidRPr="0028130F">
        <w:rPr>
          <w:rFonts w:asciiTheme="majorBidi" w:hAnsiTheme="majorBidi" w:cstheme="majorBidi"/>
          <w:lang w:eastAsia="fr-FR"/>
        </w:rPr>
        <w:t xml:space="preserve"> en ce qui concerne la préparation physique nécessaires pou</w:t>
      </w:r>
      <w:r w:rsidR="00321EED" w:rsidRPr="0028130F">
        <w:rPr>
          <w:rFonts w:asciiTheme="majorBidi" w:hAnsiTheme="majorBidi" w:cstheme="majorBidi"/>
          <w:lang w:eastAsia="fr-FR"/>
        </w:rPr>
        <w:t>r</w:t>
      </w:r>
      <w:r>
        <w:rPr>
          <w:rFonts w:asciiTheme="majorBidi" w:hAnsiTheme="majorBidi" w:cstheme="majorBidi"/>
          <w:lang w:eastAsia="fr-FR"/>
        </w:rPr>
        <w:t xml:space="preserve"> réduire le risque de blessure et le m</w:t>
      </w:r>
      <w:r w:rsidR="00FB5653">
        <w:rPr>
          <w:rFonts w:asciiTheme="majorBidi" w:hAnsiTheme="majorBidi" w:cstheme="majorBidi"/>
          <w:lang w:eastAsia="fr-FR"/>
        </w:rPr>
        <w:t>aintien de la haute performance.</w:t>
      </w:r>
    </w:p>
    <w:p w:rsidR="00FB5653" w:rsidRDefault="00FB5653" w:rsidP="00FB5653">
      <w:pPr>
        <w:shd w:val="clear" w:color="auto" w:fill="FDFDFD"/>
        <w:spacing w:after="0" w:line="240" w:lineRule="auto"/>
        <w:ind w:left="360"/>
        <w:rPr>
          <w:rFonts w:ascii="Inter UI" w:eastAsia="Times New Roman" w:hAnsi="Inter UI" w:cs="Times New Roman"/>
          <w:color w:val="003259"/>
          <w:sz w:val="24"/>
          <w:szCs w:val="24"/>
          <w:lang w:eastAsia="fr-FR"/>
        </w:rPr>
      </w:pPr>
    </w:p>
    <w:p w:rsidR="00FB5653" w:rsidRPr="00FB5653" w:rsidRDefault="00FB5653" w:rsidP="00FB5653">
      <w:pPr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B5653">
        <w:rPr>
          <w:rFonts w:ascii="Inter UI" w:eastAsia="Times New Roman" w:hAnsi="Inter UI" w:cs="Times New Roman"/>
          <w:color w:val="003259"/>
          <w:sz w:val="24"/>
          <w:szCs w:val="24"/>
          <w:lang w:eastAsia="fr-FR"/>
        </w:rPr>
        <w:t>Cet enseignement se propose donc d’aborder les principales recommandations communes à</w:t>
      </w:r>
      <w:r>
        <w:rPr>
          <w:rFonts w:ascii="Inter UI" w:eastAsia="Times New Roman" w:hAnsi="Inter UI" w:cs="Times New Roman"/>
          <w:color w:val="003259"/>
          <w:sz w:val="24"/>
          <w:szCs w:val="24"/>
          <w:lang w:eastAsia="fr-FR"/>
        </w:rPr>
        <w:t xml:space="preserve"> </w:t>
      </w:r>
      <w:r w:rsidRPr="00A87B53">
        <w:rPr>
          <w:rFonts w:ascii="Inter UI" w:eastAsia="Times New Roman" w:hAnsi="Inter UI" w:cs="Times New Roman"/>
          <w:color w:val="003259"/>
          <w:sz w:val="24"/>
          <w:szCs w:val="24"/>
          <w:lang w:eastAsia="fr-FR"/>
        </w:rPr>
        <w:t>l'usage des entraîneurs, du personnel scientifique et médical du sport et d'autres professionnels</w:t>
      </w:r>
    </w:p>
    <w:p w:rsidR="001A21F8" w:rsidRDefault="001A21F8" w:rsidP="00725168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8C1734" w:rsidRDefault="008C1734" w:rsidP="008C1734">
      <w:pPr>
        <w:shd w:val="clear" w:color="auto" w:fill="FDFDFD"/>
        <w:spacing w:after="0" w:line="240" w:lineRule="auto"/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  <w:t xml:space="preserve">PPEI - </w:t>
      </w:r>
      <w:r w:rsidRPr="00AE1825"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  <w:t xml:space="preserve">Programme </w:t>
      </w:r>
      <w:proofErr w:type="gramStart"/>
      <w:r w:rsidRPr="00AE1825"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  <w:t>proposé</w:t>
      </w:r>
      <w:proofErr w:type="gramEnd"/>
    </w:p>
    <w:p w:rsidR="008C1734" w:rsidRPr="00AE1825" w:rsidRDefault="008C1734" w:rsidP="008C1734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99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  <w:t xml:space="preserve">Alexandre </w:t>
      </w:r>
      <w:proofErr w:type="spellStart"/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  <w:t>Marchadour</w:t>
      </w:r>
      <w:proofErr w:type="spellEnd"/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  <w:t xml:space="preserve"> et Z. </w:t>
      </w:r>
      <w:proofErr w:type="spellStart"/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  <w:t>Labsy</w:t>
      </w:r>
      <w:proofErr w:type="spellEnd"/>
    </w:p>
    <w:p w:rsidR="008C1734" w:rsidRPr="00AE1825" w:rsidRDefault="008C1734" w:rsidP="008C1734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99"/>
          <w:sz w:val="20"/>
          <w:szCs w:val="20"/>
          <w:lang w:eastAsia="fr-FR"/>
        </w:rPr>
      </w:pPr>
    </w:p>
    <w:tbl>
      <w:tblPr>
        <w:tblW w:w="9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276"/>
        <w:gridCol w:w="1985"/>
        <w:gridCol w:w="1559"/>
        <w:gridCol w:w="1417"/>
        <w:gridCol w:w="2127"/>
      </w:tblGrid>
      <w:tr w:rsidR="008C1734" w:rsidRPr="00AE1825" w:rsidTr="00A708E1">
        <w:trPr>
          <w:trHeight w:val="61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Lundi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15/05/2023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Mardi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16/05/2023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Mercredi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17/05/2023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Jeudi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18/05/2023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Vendredi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19/05/2023</w:t>
            </w:r>
          </w:p>
        </w:tc>
      </w:tr>
      <w:tr w:rsidR="008C1734" w:rsidRPr="00AE1825" w:rsidTr="00A708E1">
        <w:trPr>
          <w:trHeight w:val="915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 – 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1734" w:rsidRPr="006013A4" w:rsidRDefault="008C1734" w:rsidP="00A708E1">
            <w:pPr>
              <w:rPr>
                <w:rFonts w:asciiTheme="minorBidi" w:hAnsiTheme="minorBidi"/>
                <w:color w:val="2F5496" w:themeColor="accent5" w:themeShade="BF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Salle de cours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proofErr w:type="gramStart"/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bât</w:t>
            </w:r>
            <w:proofErr w:type="gramEnd"/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 xml:space="preserve"> ?? C005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 xml:space="preserve">Dispo entre 11 et 13h 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Saclay stade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Saclay Stade</w:t>
            </w:r>
          </w:p>
        </w:tc>
      </w:tr>
      <w:tr w:rsidR="008C1734" w:rsidRPr="00AE1825" w:rsidTr="00A708E1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14 – 17 </w:t>
            </w:r>
            <w:r w:rsidRPr="00AE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1734" w:rsidRPr="006013A4" w:rsidRDefault="008C1734" w:rsidP="00A708E1">
            <w:pPr>
              <w:rPr>
                <w:rFonts w:asciiTheme="minorBidi" w:hAnsiTheme="minorBidi"/>
                <w:color w:val="2F5496" w:themeColor="accent5" w:themeShade="BF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 xml:space="preserve">Saclay stade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shd w:val="clear" w:color="auto" w:fill="FFFFFF"/>
                <w:lang w:eastAsia="fr-FR"/>
              </w:rPr>
              <w:t>Saclay Stade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shd w:val="clear" w:color="auto" w:fill="FFFFFF"/>
                <w:lang w:eastAsia="fr-FR"/>
              </w:rPr>
              <w:t>Saclay Stade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</w:p>
        </w:tc>
      </w:tr>
      <w:tr w:rsidR="008C1734" w:rsidRPr="00AE1825" w:rsidTr="00A708E1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</w:p>
        </w:tc>
      </w:tr>
      <w:tr w:rsidR="008C1734" w:rsidRPr="00AE1825" w:rsidTr="00A708E1">
        <w:trPr>
          <w:trHeight w:val="61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AE1825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Lundi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22/05/2023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Mardi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23/05/2023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Mercredi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24/05/2023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25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-mai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Vendredi</w:t>
            </w: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 </w:t>
            </w:r>
          </w:p>
          <w:p w:rsidR="008C1734" w:rsidRPr="00AE1825" w:rsidRDefault="008C1734" w:rsidP="00A708E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27/05/2023</w:t>
            </w:r>
          </w:p>
        </w:tc>
      </w:tr>
      <w:tr w:rsidR="008C1734" w:rsidRPr="00AE1825" w:rsidTr="00A708E1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AE1825">
              <w:rPr>
                <w:rFonts w:ascii="Arial" w:eastAsia="Times New Roman" w:hAnsi="Arial" w:cs="Arial"/>
                <w:color w:val="000000"/>
                <w:lang w:eastAsia="fr-FR"/>
              </w:rPr>
              <w:t>10 – 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1734" w:rsidRPr="006013A4" w:rsidRDefault="008C1734" w:rsidP="00A708E1">
            <w:pPr>
              <w:rPr>
                <w:rFonts w:asciiTheme="minorBidi" w:hAnsiTheme="minorBidi"/>
                <w:color w:val="2F5496" w:themeColor="accent5" w:themeShade="BF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Salle de cours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proofErr w:type="gramStart"/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bât</w:t>
            </w:r>
            <w:proofErr w:type="gramEnd"/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 xml:space="preserve"> ?? C005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1734" w:rsidRPr="006013A4" w:rsidRDefault="008C1734" w:rsidP="00A708E1">
            <w:pPr>
              <w:rPr>
                <w:rFonts w:asciiTheme="minorBidi" w:hAnsiTheme="minorBidi"/>
                <w:color w:val="2F5496" w:themeColor="accent5" w:themeShade="BF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6013A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 xml:space="preserve">Dispo entre 11 et 13h 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Saclay stade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1734" w:rsidRPr="006013A4" w:rsidRDefault="008C1734" w:rsidP="00A708E1">
            <w:pPr>
              <w:rPr>
                <w:rFonts w:asciiTheme="minorBidi" w:hAnsiTheme="minorBidi"/>
                <w:color w:val="2F5496" w:themeColor="accent5" w:themeShade="BF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</w:tr>
      <w:tr w:rsidR="008C1734" w:rsidRPr="00AE1825" w:rsidTr="00A708E1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Pr="00AE1825" w:rsidRDefault="008C1734" w:rsidP="00A70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AE1825">
              <w:rPr>
                <w:rFonts w:ascii="Arial" w:eastAsia="Times New Roman" w:hAnsi="Arial" w:cs="Arial"/>
                <w:color w:val="000000"/>
                <w:lang w:eastAsia="fr-FR"/>
              </w:rPr>
              <w:t>14 – 17h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1734" w:rsidRPr="006013A4" w:rsidRDefault="008C1734" w:rsidP="00A708E1">
            <w:pPr>
              <w:rPr>
                <w:rFonts w:asciiTheme="minorBidi" w:hAnsiTheme="minorBidi"/>
                <w:color w:val="2F5496" w:themeColor="accent5" w:themeShade="BF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 xml:space="preserve">Gymnase 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bât 225 B 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1734" w:rsidRPr="006013A4" w:rsidRDefault="008C1734" w:rsidP="00A708E1">
            <w:pPr>
              <w:rPr>
                <w:rFonts w:asciiTheme="minorBidi" w:hAnsiTheme="minorBidi"/>
                <w:color w:val="2F5496" w:themeColor="accent5" w:themeShade="BF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1734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Gymnase</w:t>
            </w:r>
          </w:p>
          <w:p w:rsidR="008C1734" w:rsidRPr="00AE1825" w:rsidRDefault="008C1734" w:rsidP="00A708E1">
            <w:pPr>
              <w:spacing w:after="0" w:line="240" w:lineRule="auto"/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</w:pPr>
            <w:r w:rsidRPr="00AE1825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225 C ?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1734" w:rsidRPr="006013A4" w:rsidRDefault="008C1734" w:rsidP="00A708E1">
            <w:pPr>
              <w:rPr>
                <w:rFonts w:asciiTheme="minorBidi" w:hAnsiTheme="minorBidi"/>
                <w:color w:val="2F5496" w:themeColor="accent5" w:themeShade="BF"/>
              </w:rPr>
            </w:pPr>
            <w:r w:rsidRPr="006013A4">
              <w:rPr>
                <w:rFonts w:asciiTheme="minorBidi" w:eastAsia="Times New Roman" w:hAnsiTheme="minorBidi"/>
                <w:color w:val="2F5496" w:themeColor="accent5" w:themeShade="BF"/>
                <w:lang w:eastAsia="fr-FR"/>
              </w:rPr>
              <w:t>Non disponible</w:t>
            </w:r>
          </w:p>
        </w:tc>
      </w:tr>
    </w:tbl>
    <w:p w:rsidR="008C1734" w:rsidRPr="00AE1825" w:rsidRDefault="008C1734" w:rsidP="008C1734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99"/>
          <w:sz w:val="20"/>
          <w:szCs w:val="20"/>
          <w:lang w:eastAsia="fr-FR"/>
        </w:rPr>
      </w:pPr>
      <w:r w:rsidRPr="00AE1825">
        <w:rPr>
          <w:rFonts w:ascii="Arial" w:eastAsia="Times New Roman" w:hAnsi="Arial" w:cs="Arial"/>
          <w:color w:val="000099"/>
          <w:sz w:val="20"/>
          <w:szCs w:val="20"/>
          <w:lang w:eastAsia="fr-FR"/>
        </w:rPr>
        <w:lastRenderedPageBreak/>
        <w:t> </w:t>
      </w:r>
    </w:p>
    <w:p w:rsidR="008C1734" w:rsidRPr="00725168" w:rsidRDefault="008C1734" w:rsidP="00725168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sectPr w:rsidR="008C1734" w:rsidRPr="0072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UI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3DA1"/>
    <w:multiLevelType w:val="hybridMultilevel"/>
    <w:tmpl w:val="B3D8184A"/>
    <w:lvl w:ilvl="0" w:tplc="58E47E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251EB"/>
    <w:multiLevelType w:val="hybridMultilevel"/>
    <w:tmpl w:val="7B365508"/>
    <w:lvl w:ilvl="0" w:tplc="30B8575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0"/>
    <w:rsid w:val="00131A34"/>
    <w:rsid w:val="00155656"/>
    <w:rsid w:val="00180811"/>
    <w:rsid w:val="001A21F8"/>
    <w:rsid w:val="0028130F"/>
    <w:rsid w:val="002B50A2"/>
    <w:rsid w:val="00321EED"/>
    <w:rsid w:val="003D0F26"/>
    <w:rsid w:val="00402112"/>
    <w:rsid w:val="00417516"/>
    <w:rsid w:val="0042454B"/>
    <w:rsid w:val="00476E80"/>
    <w:rsid w:val="00494AE8"/>
    <w:rsid w:val="005E2229"/>
    <w:rsid w:val="00662807"/>
    <w:rsid w:val="00725168"/>
    <w:rsid w:val="00761A22"/>
    <w:rsid w:val="008B064E"/>
    <w:rsid w:val="008C1734"/>
    <w:rsid w:val="008E75CA"/>
    <w:rsid w:val="009A4639"/>
    <w:rsid w:val="009B7578"/>
    <w:rsid w:val="00B23823"/>
    <w:rsid w:val="00B41622"/>
    <w:rsid w:val="00BB50D8"/>
    <w:rsid w:val="00BC49B5"/>
    <w:rsid w:val="00C04371"/>
    <w:rsid w:val="00D32C9B"/>
    <w:rsid w:val="00D3648C"/>
    <w:rsid w:val="00DB3DEF"/>
    <w:rsid w:val="00EF5520"/>
    <w:rsid w:val="00F4234A"/>
    <w:rsid w:val="00F62E75"/>
    <w:rsid w:val="00F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5F26"/>
  <w15:chartTrackingRefBased/>
  <w15:docId w15:val="{8CC9C262-B32A-4805-98C7-43C74F9E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94AE8"/>
    <w:rPr>
      <w:b/>
      <w:bCs/>
    </w:rPr>
  </w:style>
  <w:style w:type="character" w:customStyle="1" w:styleId="object">
    <w:name w:val="object"/>
    <w:basedOn w:val="Policepardfaut"/>
    <w:rsid w:val="00494AE8"/>
  </w:style>
  <w:style w:type="table" w:styleId="Grilledutableau">
    <w:name w:val="Table Grid"/>
    <w:basedOn w:val="TableauNormal"/>
    <w:uiPriority w:val="39"/>
    <w:rsid w:val="0049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</dc:creator>
  <cp:keywords/>
  <dc:description/>
  <cp:lastModifiedBy>Hélène Ballongue</cp:lastModifiedBy>
  <cp:revision>11</cp:revision>
  <dcterms:created xsi:type="dcterms:W3CDTF">2023-03-30T09:05:00Z</dcterms:created>
  <dcterms:modified xsi:type="dcterms:W3CDTF">2023-03-31T08:09:00Z</dcterms:modified>
</cp:coreProperties>
</file>